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最高人民法院2021年度司法案例研究课题</w:t>
      </w:r>
      <w:r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  <w:t>招标题目</w:t>
      </w:r>
    </w:p>
    <w:bookmarkEnd w:id="0"/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楷体" w:hAnsi="楷体" w:eastAsia="楷体" w:cs="黑体"/>
          <w:b/>
          <w:sz w:val="32"/>
          <w:szCs w:val="32"/>
        </w:rPr>
      </w:pPr>
    </w:p>
    <w:p>
      <w:pPr>
        <w:pStyle w:val="4"/>
        <w:widowControl/>
        <w:adjustRightInd w:val="0"/>
        <w:snapToGrid w:val="0"/>
        <w:spacing w:beforeLines="100" w:beforeAutospacing="0" w:afterLines="60" w:afterAutospacing="0" w:line="360" w:lineRule="auto"/>
        <w:jc w:val="center"/>
        <w:rPr>
          <w:rFonts w:ascii="楷体" w:hAnsi="楷体" w:eastAsia="楷体" w:cs="黑体"/>
          <w:b/>
          <w:sz w:val="32"/>
          <w:szCs w:val="32"/>
        </w:rPr>
      </w:pPr>
      <w:r>
        <w:rPr>
          <w:rFonts w:hint="eastAsia" w:ascii="楷体" w:hAnsi="楷体" w:eastAsia="楷体" w:cs="黑体"/>
          <w:b/>
          <w:sz w:val="32"/>
          <w:szCs w:val="32"/>
        </w:rPr>
        <w:t>一、深入学习贯彻习近平总书记</w:t>
      </w:r>
      <w:r>
        <w:rPr>
          <w:rFonts w:ascii="楷体" w:hAnsi="楷体" w:eastAsia="楷体" w:cs="黑体"/>
          <w:b/>
          <w:sz w:val="32"/>
          <w:szCs w:val="32"/>
        </w:rPr>
        <w:t>在庆祝中国共产党成立一百周年大会上的</w:t>
      </w:r>
      <w:r>
        <w:rPr>
          <w:rFonts w:hint="eastAsia" w:ascii="楷体" w:hAnsi="楷体" w:eastAsia="楷体" w:cs="黑体"/>
          <w:b/>
          <w:sz w:val="32"/>
          <w:szCs w:val="32"/>
        </w:rPr>
        <w:t>重要讲话精神课题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1.习近平法治思想案例研究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2.中国共产党伟大建党精神司法案例研究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3.以史为鉴、开创未来，坚持和发展中国特色社会主义法治道路案例研究</w:t>
      </w:r>
    </w:p>
    <w:p>
      <w:pPr>
        <w:pStyle w:val="4"/>
        <w:widowControl/>
        <w:adjustRightInd w:val="0"/>
        <w:snapToGrid w:val="0"/>
        <w:spacing w:beforeLines="100" w:beforeAutospacing="0" w:afterLines="60" w:afterAutospacing="0" w:line="360" w:lineRule="auto"/>
        <w:jc w:val="center"/>
        <w:rPr>
          <w:rFonts w:ascii="楷体" w:hAnsi="楷体" w:eastAsia="楷体" w:cs="黑体"/>
          <w:b/>
          <w:sz w:val="32"/>
          <w:szCs w:val="32"/>
        </w:rPr>
      </w:pPr>
      <w:r>
        <w:rPr>
          <w:rFonts w:hint="eastAsia" w:ascii="楷体" w:hAnsi="楷体" w:eastAsia="楷体" w:cs="黑体"/>
          <w:b/>
          <w:sz w:val="32"/>
          <w:szCs w:val="32"/>
        </w:rPr>
        <w:t>二、中华法系司法案例研究课题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4.红色司法案例的理念传承和时代价值研究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5.中华法系司法理念与原则案例研究</w:t>
      </w:r>
    </w:p>
    <w:p>
      <w:pPr>
        <w:pStyle w:val="4"/>
        <w:widowControl/>
        <w:adjustRightInd w:val="0"/>
        <w:snapToGrid w:val="0"/>
        <w:spacing w:beforeLines="100" w:beforeAutospacing="0" w:afterLines="60" w:afterAutospacing="0" w:line="360" w:lineRule="auto"/>
        <w:jc w:val="center"/>
        <w:rPr>
          <w:rFonts w:ascii="楷体" w:hAnsi="楷体" w:eastAsia="楷体" w:cs="黑体"/>
          <w:b/>
          <w:sz w:val="32"/>
          <w:szCs w:val="32"/>
        </w:rPr>
      </w:pPr>
      <w:r>
        <w:rPr>
          <w:rFonts w:hint="eastAsia" w:ascii="楷体" w:hAnsi="楷体" w:eastAsia="楷体" w:cs="黑体"/>
          <w:b/>
          <w:sz w:val="32"/>
          <w:szCs w:val="32"/>
        </w:rPr>
        <w:t>三、刑事类司法案例研究课题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6.虚假诉讼罪典型案例研究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7.网络犯罪类案研究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8.网络诈骗罪典型案例研究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9.重大责任事故罪典型案例研究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10.新型毒品犯罪类案研究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11.猥亵儿童罪典型案例研究</w:t>
      </w:r>
    </w:p>
    <w:p>
      <w:pPr>
        <w:pStyle w:val="4"/>
        <w:widowControl/>
        <w:adjustRightInd w:val="0"/>
        <w:snapToGrid w:val="0"/>
        <w:spacing w:beforeLines="100" w:beforeAutospacing="0" w:afterLines="60" w:afterAutospacing="0" w:line="360" w:lineRule="auto"/>
        <w:jc w:val="center"/>
        <w:rPr>
          <w:rFonts w:ascii="楷体" w:hAnsi="楷体" w:eastAsia="楷体" w:cs="黑体"/>
          <w:b/>
          <w:sz w:val="32"/>
          <w:szCs w:val="32"/>
        </w:rPr>
      </w:pPr>
      <w:r>
        <w:rPr>
          <w:rFonts w:hint="eastAsia" w:ascii="楷体" w:hAnsi="楷体" w:eastAsia="楷体" w:cs="黑体"/>
          <w:b/>
          <w:sz w:val="32"/>
          <w:szCs w:val="32"/>
        </w:rPr>
        <w:t>四、民商类司法案例研究课题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12.英烈人格权益民事公益诉讼案例研究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13. 网络个人信息保护典型案例研究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14.民法典时代数据权利保护案例研究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15.《民法典》担保制度新规则案例研究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16. 物业服务合同纠纷案例研究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17.保障性住房建筑物区分所有纠纷案例研究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18.“对赌协议”典型案例研究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19.新业态从业人员合法权益保障典型案例研究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20. “一带一路”国际商事纠纷典型案例研究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21.《著作权法》新规则案例研究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22.《专利法》新规则案例研究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23.侵害知识产权惩罚性赔偿司法案例研究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pStyle w:val="4"/>
        <w:widowControl/>
        <w:adjustRightInd w:val="0"/>
        <w:snapToGrid w:val="0"/>
        <w:spacing w:beforeLines="100" w:beforeAutospacing="0" w:afterLines="60" w:afterAutospacing="0" w:line="360" w:lineRule="auto"/>
        <w:jc w:val="center"/>
        <w:rPr>
          <w:rFonts w:ascii="楷体" w:hAnsi="楷体" w:eastAsia="楷体" w:cs="黑体"/>
          <w:b/>
          <w:sz w:val="32"/>
          <w:szCs w:val="32"/>
        </w:rPr>
      </w:pPr>
      <w:r>
        <w:rPr>
          <w:rFonts w:hint="eastAsia" w:ascii="楷体" w:hAnsi="楷体" w:eastAsia="楷体" w:cs="黑体"/>
          <w:b/>
          <w:sz w:val="32"/>
          <w:szCs w:val="32"/>
        </w:rPr>
        <w:t>五、行政类司法案例研究课题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24.《行政处罚法》修改与行政处罚案例研究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25.《行政复议法》修改与行政复议案例研究</w:t>
      </w:r>
    </w:p>
    <w:p>
      <w:pPr>
        <w:ind w:firstLine="600" w:firstLineChars="200"/>
        <w:rPr>
          <w:rFonts w:ascii="楷体" w:hAnsi="楷体" w:eastAsia="楷体" w:cs="黑体"/>
          <w:b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26.行政诉讼管辖制度案例研究</w:t>
      </w:r>
    </w:p>
    <w:p>
      <w:pPr>
        <w:pStyle w:val="4"/>
        <w:widowControl/>
        <w:adjustRightInd w:val="0"/>
        <w:snapToGrid w:val="0"/>
        <w:spacing w:beforeLines="100" w:beforeAutospacing="0" w:afterLines="60" w:afterAutospacing="0" w:line="360" w:lineRule="auto"/>
        <w:jc w:val="center"/>
        <w:rPr>
          <w:rFonts w:ascii="楷体" w:hAnsi="楷体" w:eastAsia="楷体" w:cs="黑体"/>
          <w:b/>
          <w:sz w:val="32"/>
          <w:szCs w:val="32"/>
        </w:rPr>
      </w:pPr>
      <w:r>
        <w:rPr>
          <w:rFonts w:hint="eastAsia" w:ascii="楷体" w:hAnsi="楷体" w:eastAsia="楷体" w:cs="黑体"/>
          <w:b/>
          <w:sz w:val="32"/>
          <w:szCs w:val="32"/>
        </w:rPr>
        <w:t>六、综合类司法案例研究课题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27.涉国家主权豁免司法案例比较研究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28.讲好中国法治故事，构建中国司法案例对外交流传播体制研究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29.社会主义核心价值观融入司法审判典型案例研究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30.服务保障数字经济健康发展司法案例研究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31.人民法院在线诉讼规则的案例研究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32.全面贯彻总体国家安全观司法案例研究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33.《网络安全法》适用和理解的案例研究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34.《数据安全法》适用和理解的案例研究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35.环境资源诉讼案例的大数据研究应用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36.金融司法案例的大数据研究应用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37.执行终本案件规范化案例研究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38.家事审判改革的司法案例研究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39.服务保障粤港澳大湾区建设司法案例研究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16242"/>
    <w:rsid w:val="005A229C"/>
    <w:rsid w:val="00697C6D"/>
    <w:rsid w:val="006D45A3"/>
    <w:rsid w:val="2402758D"/>
    <w:rsid w:val="42095ED7"/>
    <w:rsid w:val="56096B77"/>
    <w:rsid w:val="5B0171D9"/>
    <w:rsid w:val="6B916242"/>
    <w:rsid w:val="6F0206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134</Words>
  <Characters>765</Characters>
  <Lines>6</Lines>
  <Paragraphs>1</Paragraphs>
  <TotalTime>1</TotalTime>
  <ScaleCrop>false</ScaleCrop>
  <LinksUpToDate>false</LinksUpToDate>
  <CharactersWithSpaces>898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2021-07-26T01:12:00Z</dcterms:created>
  <dc:creator>轩妞</dc:creator>
  <cp:lastModifiedBy>轩妞</cp:lastModifiedBy>
  <dcterms:modified xsi:type="dcterms:W3CDTF">2021-09-30T06:52:22Z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7BD798697D0B40238C66A77356EC1812</vt:lpwstr>
  </property>
</Properties>
</file>