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7B1" w:rsidRDefault="009C088F">
      <w:pPr>
        <w:jc w:val="center"/>
        <w:rPr>
          <w:rFonts w:ascii="黑体" w:eastAsia="黑体"/>
          <w:color w:val="000000"/>
          <w:sz w:val="48"/>
          <w:szCs w:val="48"/>
        </w:rPr>
      </w:pPr>
      <w:bookmarkStart w:id="0" w:name="_GoBack"/>
      <w:bookmarkEnd w:id="0"/>
      <w:r>
        <w:rPr>
          <w:rFonts w:ascii="黑体" w:eastAsia="黑体" w:hint="eastAsia"/>
          <w:color w:val="000000"/>
          <w:sz w:val="48"/>
          <w:szCs w:val="48"/>
        </w:rPr>
        <w:t>全国法院第</w:t>
      </w:r>
      <w:r>
        <w:rPr>
          <w:rFonts w:ascii="黑体" w:eastAsia="黑体" w:hint="eastAsia"/>
          <w:color w:val="000000"/>
          <w:sz w:val="48"/>
          <w:szCs w:val="48"/>
        </w:rPr>
        <w:t>三十一</w:t>
      </w:r>
      <w:r>
        <w:rPr>
          <w:rFonts w:ascii="黑体" w:eastAsia="黑体" w:hint="eastAsia"/>
          <w:color w:val="000000"/>
          <w:sz w:val="48"/>
          <w:szCs w:val="48"/>
        </w:rPr>
        <w:t>届学术讨论会</w:t>
      </w:r>
    </w:p>
    <w:p w:rsidR="002E67B1" w:rsidRDefault="009C088F">
      <w:pPr>
        <w:ind w:firstLineChars="550" w:firstLine="2640"/>
        <w:jc w:val="left"/>
        <w:rPr>
          <w:rFonts w:ascii="黑体" w:eastAsia="黑体"/>
          <w:color w:val="000000"/>
          <w:sz w:val="48"/>
          <w:szCs w:val="48"/>
        </w:rPr>
      </w:pPr>
      <w:r>
        <w:rPr>
          <w:rFonts w:ascii="黑体" w:eastAsia="黑体" w:hint="eastAsia"/>
          <w:color w:val="000000"/>
          <w:sz w:val="48"/>
          <w:szCs w:val="48"/>
        </w:rPr>
        <w:t>获</w:t>
      </w:r>
      <w:r>
        <w:rPr>
          <w:rFonts w:ascii="黑体" w:eastAsia="黑体" w:hint="eastAsia"/>
          <w:color w:val="000000"/>
          <w:sz w:val="48"/>
          <w:szCs w:val="48"/>
        </w:rPr>
        <w:t xml:space="preserve">  </w:t>
      </w:r>
      <w:r>
        <w:rPr>
          <w:rFonts w:ascii="黑体" w:eastAsia="黑体" w:hint="eastAsia"/>
          <w:color w:val="000000"/>
          <w:sz w:val="48"/>
          <w:szCs w:val="48"/>
        </w:rPr>
        <w:t>奖</w:t>
      </w:r>
      <w:r>
        <w:rPr>
          <w:rFonts w:ascii="黑体" w:eastAsia="黑体" w:hint="eastAsia"/>
          <w:color w:val="000000"/>
          <w:sz w:val="48"/>
          <w:szCs w:val="48"/>
        </w:rPr>
        <w:t xml:space="preserve">  </w:t>
      </w:r>
      <w:r>
        <w:rPr>
          <w:rFonts w:ascii="黑体" w:eastAsia="黑体" w:hint="eastAsia"/>
          <w:color w:val="000000"/>
          <w:sz w:val="48"/>
          <w:szCs w:val="48"/>
        </w:rPr>
        <w:t>名</w:t>
      </w:r>
      <w:r>
        <w:rPr>
          <w:rFonts w:ascii="黑体" w:eastAsia="黑体" w:hint="eastAsia"/>
          <w:color w:val="000000"/>
          <w:sz w:val="48"/>
          <w:szCs w:val="48"/>
        </w:rPr>
        <w:t xml:space="preserve">  </w:t>
      </w:r>
      <w:r>
        <w:rPr>
          <w:rFonts w:ascii="黑体" w:eastAsia="黑体" w:hint="eastAsia"/>
          <w:color w:val="000000"/>
          <w:sz w:val="48"/>
          <w:szCs w:val="48"/>
        </w:rPr>
        <w:t>单</w:t>
      </w:r>
    </w:p>
    <w:p w:rsidR="002E67B1" w:rsidRDefault="002E67B1">
      <w:pPr>
        <w:ind w:firstLineChars="200" w:firstLine="960"/>
        <w:jc w:val="left"/>
        <w:rPr>
          <w:rFonts w:ascii="黑体" w:eastAsia="黑体" w:hAnsi="黑体" w:cs="黑体"/>
          <w:color w:val="000000"/>
          <w:sz w:val="48"/>
          <w:szCs w:val="48"/>
        </w:rPr>
      </w:pPr>
    </w:p>
    <w:p w:rsidR="002E67B1" w:rsidRDefault="009C088F">
      <w:pPr>
        <w:jc w:val="center"/>
        <w:rPr>
          <w:rFonts w:ascii="黑体" w:eastAsia="黑体" w:hAnsi="宋体"/>
          <w:b/>
          <w:sz w:val="44"/>
          <w:szCs w:val="44"/>
        </w:rPr>
      </w:pPr>
      <w:r>
        <w:rPr>
          <w:rFonts w:ascii="黑体" w:eastAsia="黑体" w:hAnsi="宋体" w:hint="eastAsia"/>
          <w:b/>
          <w:sz w:val="44"/>
          <w:szCs w:val="44"/>
        </w:rPr>
        <w:t>一</w:t>
      </w:r>
      <w:r>
        <w:rPr>
          <w:rFonts w:ascii="黑体" w:eastAsia="黑体" w:hAnsi="宋体" w:hint="eastAsia"/>
          <w:b/>
          <w:sz w:val="44"/>
          <w:szCs w:val="44"/>
        </w:rPr>
        <w:t xml:space="preserve"> </w:t>
      </w:r>
      <w:r>
        <w:rPr>
          <w:rFonts w:ascii="黑体" w:eastAsia="黑体" w:hAnsi="宋体" w:hint="eastAsia"/>
          <w:b/>
          <w:sz w:val="44"/>
          <w:szCs w:val="44"/>
        </w:rPr>
        <w:t>等</w:t>
      </w:r>
      <w:r>
        <w:rPr>
          <w:rFonts w:ascii="黑体" w:eastAsia="黑体" w:hAnsi="宋体" w:hint="eastAsia"/>
          <w:b/>
          <w:sz w:val="44"/>
          <w:szCs w:val="44"/>
        </w:rPr>
        <w:t xml:space="preserve"> </w:t>
      </w:r>
      <w:r>
        <w:rPr>
          <w:rFonts w:ascii="黑体" w:eastAsia="黑体" w:hAnsi="宋体" w:hint="eastAsia"/>
          <w:b/>
          <w:sz w:val="44"/>
          <w:szCs w:val="44"/>
        </w:rPr>
        <w:t>奖</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行政裁判中指正表述的实证考察及进路探索——以</w:t>
      </w:r>
      <w:r>
        <w:rPr>
          <w:rFonts w:ascii="楷体_GB2312" w:eastAsia="楷体_GB2312" w:hAnsi="楷体_GB2312" w:cs="楷体_GB2312" w:hint="eastAsia"/>
          <w:sz w:val="24"/>
        </w:rPr>
        <w:t>A</w:t>
      </w:r>
      <w:r>
        <w:rPr>
          <w:rFonts w:ascii="楷体_GB2312" w:eastAsia="楷体_GB2312" w:hAnsi="楷体_GB2312" w:cs="楷体_GB2312" w:hint="eastAsia"/>
          <w:sz w:val="24"/>
        </w:rPr>
        <w:t>省</w:t>
      </w:r>
      <w:r>
        <w:rPr>
          <w:rFonts w:ascii="楷体_GB2312" w:eastAsia="楷体_GB2312" w:hAnsi="楷体_GB2312" w:cs="楷体_GB2312" w:hint="eastAsia"/>
          <w:sz w:val="24"/>
        </w:rPr>
        <w:t>347</w:t>
      </w:r>
      <w:r>
        <w:rPr>
          <w:rFonts w:ascii="楷体_GB2312" w:eastAsia="楷体_GB2312" w:hAnsi="楷体_GB2312" w:cs="楷体_GB2312" w:hint="eastAsia"/>
          <w:sz w:val="24"/>
        </w:rPr>
        <w:t>份行政裁判文书为样本</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安徽省阜阳市中级人民法院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李炳彤</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以偏求正：探底证明责任分配难题的心证本质——以信息经济学视角揭示证明过程之信息不对称理性</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北京市第二中级人民法院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李俊晔</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北京市大兴区人民法院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曹成成</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法官业绩考评结果运用“失灵”的困境审视与完善</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湖南省永兴县人民法院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李小贵</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何伦波</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院庭长监督管理“四类案件”边界清单与运行机制完善——以法院的可视化管理为视角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天津市武清区人民法院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姜欣</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北京市第四中级人民法院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李振凡</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参审制下法官指引机制的重塑——以司法三段论为路径</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黑龙江省牡丹江市中级人民法院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张晓行</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蒋利龙</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刑事二审处理方式的价值修正与司法续造——以《中华人民共和国刑事诉讼法》第二百三十六条第一款为中心展开</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安徽省芜湖市中级人民法院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宋喜萍</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王旭东</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lastRenderedPageBreak/>
        <w:t>破产法视野下个人“执行不能”的解决路径分析</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北京市东城区人民法院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史锐</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吴水兰</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张旭川</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案外人执行异议权与优先受偿权之诉讼救济路径识别——以《民事诉讼法》第</w:t>
      </w:r>
      <w:r>
        <w:rPr>
          <w:rFonts w:ascii="楷体_GB2312" w:eastAsia="楷体_GB2312" w:hAnsi="楷体_GB2312" w:cs="楷体_GB2312" w:hint="eastAsia"/>
          <w:sz w:val="24"/>
        </w:rPr>
        <w:t>227</w:t>
      </w:r>
      <w:r>
        <w:rPr>
          <w:rFonts w:ascii="楷体_GB2312" w:eastAsia="楷体_GB2312" w:hAnsi="楷体_GB2312" w:cs="楷体_GB2312" w:hint="eastAsia"/>
          <w:sz w:val="24"/>
        </w:rPr>
        <w:t>条实践适用为视角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黑龙江省农垦中级法院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卜洪元</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张继</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黑龙江省高级人民法院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任莉志</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基层法</w:t>
      </w:r>
      <w:r>
        <w:rPr>
          <w:rFonts w:ascii="楷体_GB2312" w:eastAsia="楷体_GB2312" w:hAnsi="楷体_GB2312" w:cs="楷体_GB2312" w:hint="eastAsia"/>
          <w:sz w:val="24"/>
        </w:rPr>
        <w:t>院审判委员会讨论案件范围的检视与廓清——以基层法院审判委员会的职能厘定为主线</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北京市朝阳区人民法院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陈瑛洁</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组织管理学视域下诉前调解激励机制的现状简示与制度构建——以</w:t>
      </w:r>
      <w:r>
        <w:rPr>
          <w:rFonts w:ascii="楷体_GB2312" w:eastAsia="楷体_GB2312" w:hAnsi="楷体_GB2312" w:cs="楷体_GB2312" w:hint="eastAsia"/>
          <w:sz w:val="24"/>
        </w:rPr>
        <w:t>A</w:t>
      </w:r>
      <w:r>
        <w:rPr>
          <w:rFonts w:ascii="楷体_GB2312" w:eastAsia="楷体_GB2312" w:hAnsi="楷体_GB2312" w:cs="楷体_GB2312" w:hint="eastAsia"/>
          <w:sz w:val="24"/>
        </w:rPr>
        <w:t>省</w:t>
      </w:r>
      <w:r>
        <w:rPr>
          <w:rFonts w:ascii="楷体_GB2312" w:eastAsia="楷体_GB2312" w:hAnsi="楷体_GB2312" w:cs="楷体_GB2312" w:hint="eastAsia"/>
          <w:sz w:val="24"/>
        </w:rPr>
        <w:t>16</w:t>
      </w:r>
      <w:r>
        <w:rPr>
          <w:rFonts w:ascii="楷体_GB2312" w:eastAsia="楷体_GB2312" w:hAnsi="楷体_GB2312" w:cs="楷体_GB2312" w:hint="eastAsia"/>
          <w:sz w:val="24"/>
        </w:rPr>
        <w:t>地市</w:t>
      </w:r>
      <w:r>
        <w:rPr>
          <w:rFonts w:ascii="楷体_GB2312" w:eastAsia="楷体_GB2312" w:hAnsi="楷体_GB2312" w:cs="楷体_GB2312" w:hint="eastAsia"/>
          <w:sz w:val="24"/>
        </w:rPr>
        <w:t>125</w:t>
      </w:r>
      <w:r>
        <w:rPr>
          <w:rFonts w:ascii="楷体_GB2312" w:eastAsia="楷体_GB2312" w:hAnsi="楷体_GB2312" w:cs="楷体_GB2312" w:hint="eastAsia"/>
          <w:sz w:val="24"/>
        </w:rPr>
        <w:t>家法院近三年案件数据为样本</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安徽省宿州市中级人民法院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尤昊</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安徽省高级人民法院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谢娟</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多元纠纷解决机制的法经济学分析——以汽车销售合同纠纷类案为例</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吉林大学</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赵春晓</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从示范到常态：速裁案件庭审网络直播当庭宣判的发展路径——以</w:t>
      </w:r>
      <w:r>
        <w:rPr>
          <w:rFonts w:ascii="楷体_GB2312" w:eastAsia="楷体_GB2312" w:hAnsi="楷体_GB2312" w:cs="楷体_GB2312" w:hint="eastAsia"/>
          <w:sz w:val="24"/>
        </w:rPr>
        <w:t>S</w:t>
      </w:r>
      <w:r>
        <w:rPr>
          <w:rFonts w:ascii="楷体_GB2312" w:eastAsia="楷体_GB2312" w:hAnsi="楷体_GB2312" w:cs="楷体_GB2312" w:hint="eastAsia"/>
          <w:sz w:val="24"/>
        </w:rPr>
        <w:t>市法院的改革实践为样本</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广东省深圳市中级人民法院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胡志光</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黄振东</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诉的客观预备合并的需求语境与回应路径</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西藏自治区拉萨市中级人民法院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陆朝举</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广东省广州市中级人民法院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甄雪皓</w:t>
      </w:r>
      <w:r>
        <w:rPr>
          <w:rFonts w:ascii="楷体_GB2312" w:eastAsia="楷体_GB2312" w:hAnsi="楷体_GB2312" w:cs="楷体_GB2312" w:hint="eastAsia"/>
          <w:sz w:val="24"/>
        </w:rPr>
        <w:t xml:space="preserve"> </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论民事诉讼立案在线化的实现进路</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lastRenderedPageBreak/>
        <w:t>福建省厦门市中级人民法院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廖惠敏</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福建省厦门市湖里区人民法院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高碧青</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肖安</w:t>
      </w:r>
      <w:r>
        <w:rPr>
          <w:rFonts w:ascii="楷体_GB2312" w:eastAsia="楷体_GB2312" w:hAnsi="楷体_GB2312" w:cs="楷体_GB2312" w:hint="eastAsia"/>
          <w:sz w:val="24"/>
        </w:rPr>
        <w:t>定</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案件何以具有普遍法律适用指导意义：要素识别与瞄准路径</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湖南省岳阳市云溪区人民法院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袁斯潮</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湖南省怀化市中级人民法院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陆银清</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人工智能介入司法的实践检视与风险防范——以江浙沪冀黔五省市的司法实践为样本</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江苏省常州经济开发区人民法院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常鑫</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张祥龙</w:t>
      </w:r>
    </w:p>
    <w:p w:rsidR="002E67B1" w:rsidRDefault="009C088F">
      <w:pPr>
        <w:rPr>
          <w:rFonts w:ascii="楷体_GB2312" w:eastAsia="楷体_GB2312" w:hAnsi="楷体_GB2312" w:cs="楷体_GB2312"/>
          <w:sz w:val="24"/>
          <w:lang w:bidi="ar"/>
        </w:rPr>
      </w:pPr>
      <w:r>
        <w:rPr>
          <w:rFonts w:ascii="楷体_GB2312" w:eastAsia="楷体_GB2312" w:hAnsi="楷体_GB2312" w:cs="楷体_GB2312"/>
          <w:sz w:val="24"/>
          <w:lang w:bidi="ar"/>
        </w:rPr>
        <w:t>案外人异议之诉与关联诉讼</w:t>
      </w:r>
      <w:r>
        <w:rPr>
          <w:rFonts w:ascii="楷体_GB2312" w:eastAsia="楷体_GB2312" w:hAnsi="楷体_GB2312" w:cs="楷体_GB2312"/>
          <w:sz w:val="24"/>
          <w:lang w:bidi="ar"/>
        </w:rPr>
        <w:t>“</w:t>
      </w:r>
      <w:r>
        <w:rPr>
          <w:rFonts w:ascii="楷体_GB2312" w:eastAsia="楷体_GB2312" w:hAnsi="楷体_GB2312" w:cs="楷体_GB2312"/>
          <w:sz w:val="24"/>
          <w:lang w:bidi="ar"/>
        </w:rPr>
        <w:t>合并</w:t>
      </w:r>
      <w:r>
        <w:rPr>
          <w:rFonts w:ascii="楷体_GB2312" w:eastAsia="楷体_GB2312" w:hAnsi="楷体_GB2312" w:cs="楷体_GB2312"/>
          <w:sz w:val="24"/>
          <w:lang w:bidi="ar"/>
        </w:rPr>
        <w:t>-</w:t>
      </w:r>
      <w:r>
        <w:rPr>
          <w:rFonts w:ascii="楷体_GB2312" w:eastAsia="楷体_GB2312" w:hAnsi="楷体_GB2312" w:cs="楷体_GB2312"/>
          <w:sz w:val="24"/>
          <w:lang w:bidi="ar"/>
        </w:rPr>
        <w:t>吸收</w:t>
      </w:r>
      <w:r>
        <w:rPr>
          <w:rFonts w:ascii="楷体_GB2312" w:eastAsia="楷体_GB2312" w:hAnsi="楷体_GB2312" w:cs="楷体_GB2312"/>
          <w:sz w:val="24"/>
          <w:lang w:bidi="ar"/>
        </w:rPr>
        <w:t>”</w:t>
      </w:r>
      <w:r>
        <w:rPr>
          <w:rFonts w:ascii="楷体_GB2312" w:eastAsia="楷体_GB2312" w:hAnsi="楷体_GB2312" w:cs="楷体_GB2312"/>
          <w:sz w:val="24"/>
          <w:lang w:bidi="ar"/>
        </w:rPr>
        <w:t>程序构建</w:t>
      </w:r>
      <w:r>
        <w:rPr>
          <w:rFonts w:ascii="楷体_GB2312" w:eastAsia="楷体_GB2312" w:hAnsi="楷体_GB2312" w:cs="楷体_GB2312"/>
          <w:sz w:val="24"/>
          <w:lang w:bidi="ar"/>
        </w:rPr>
        <w:t>——</w:t>
      </w:r>
      <w:r>
        <w:rPr>
          <w:rFonts w:ascii="楷体_GB2312" w:eastAsia="楷体_GB2312" w:hAnsi="楷体_GB2312" w:cs="楷体_GB2312"/>
          <w:sz w:val="24"/>
          <w:lang w:bidi="ar"/>
        </w:rPr>
        <w:t>以预查封房产处置中出售人合同解除之诉为例</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sz w:val="24"/>
          <w:lang w:bidi="ar"/>
        </w:rPr>
        <w:t>北京市大兴区人民法院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吉卓烨</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sz w:val="24"/>
          <w:lang w:bidi="ar"/>
        </w:rPr>
        <w:t>黑龙江省佳木斯市中级人民法院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鲁晓薇</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法院如何回应：监察机关从宽处罚建议的诉讼支持——以</w:t>
      </w:r>
      <w:r>
        <w:rPr>
          <w:rFonts w:ascii="楷体_GB2312" w:eastAsia="楷体_GB2312" w:hAnsi="楷体_GB2312" w:cs="楷体_GB2312" w:hint="eastAsia"/>
          <w:sz w:val="24"/>
          <w:lang w:bidi="ar"/>
        </w:rPr>
        <w:t>355</w:t>
      </w:r>
      <w:r>
        <w:rPr>
          <w:rFonts w:ascii="楷体_GB2312" w:eastAsia="楷体_GB2312" w:hAnsi="楷体_GB2312" w:cs="楷体_GB2312" w:hint="eastAsia"/>
          <w:sz w:val="24"/>
          <w:lang w:bidi="ar"/>
        </w:rPr>
        <w:t>份刑事判决书为样本</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河北省南和县人民法院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贠彦强</w:t>
      </w:r>
    </w:p>
    <w:p w:rsidR="002E67B1" w:rsidRDefault="009C088F">
      <w:pPr>
        <w:rPr>
          <w:rFonts w:ascii="楷体_GB2312" w:eastAsia="楷体_GB2312" w:hAnsi="楷体_GB2312" w:cs="楷体_GB2312"/>
          <w:sz w:val="24"/>
          <w:lang w:bidi="ar"/>
        </w:rPr>
      </w:pPr>
      <w:r>
        <w:rPr>
          <w:rFonts w:ascii="楷体_GB2312" w:eastAsia="楷体_GB2312" w:hAnsi="楷体_GB2312" w:cs="楷体_GB2312"/>
          <w:sz w:val="24"/>
          <w:lang w:bidi="ar"/>
        </w:rPr>
        <w:t>大数据量刑法律问题研究</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lang w:bidi="ar"/>
        </w:rPr>
        <w:t>黑龙江省高级人民法院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商雨</w:t>
      </w:r>
    </w:p>
    <w:p w:rsidR="002E67B1" w:rsidRDefault="002E67B1">
      <w:pPr>
        <w:jc w:val="center"/>
        <w:rPr>
          <w:rFonts w:ascii="黑体" w:eastAsia="黑体" w:hAnsi="黑体" w:cs="黑体"/>
          <w:color w:val="FF0000"/>
          <w:sz w:val="48"/>
          <w:szCs w:val="48"/>
        </w:rPr>
      </w:pPr>
    </w:p>
    <w:p w:rsidR="002E67B1" w:rsidRDefault="009C088F">
      <w:pPr>
        <w:jc w:val="center"/>
        <w:rPr>
          <w:rFonts w:ascii="黑体" w:eastAsia="黑体" w:hAnsi="宋体"/>
          <w:b/>
          <w:sz w:val="44"/>
          <w:szCs w:val="44"/>
        </w:rPr>
      </w:pPr>
      <w:r>
        <w:rPr>
          <w:rFonts w:ascii="黑体" w:eastAsia="黑体" w:hAnsi="宋体" w:hint="eastAsia"/>
          <w:b/>
          <w:sz w:val="44"/>
          <w:szCs w:val="44"/>
        </w:rPr>
        <w:t>二</w:t>
      </w:r>
      <w:r>
        <w:rPr>
          <w:rFonts w:ascii="黑体" w:eastAsia="黑体" w:hAnsi="宋体" w:hint="eastAsia"/>
          <w:b/>
          <w:sz w:val="44"/>
          <w:szCs w:val="44"/>
        </w:rPr>
        <w:t xml:space="preserve"> </w:t>
      </w:r>
      <w:r>
        <w:rPr>
          <w:rFonts w:ascii="黑体" w:eastAsia="黑体" w:hAnsi="宋体" w:hint="eastAsia"/>
          <w:b/>
          <w:sz w:val="44"/>
          <w:szCs w:val="44"/>
        </w:rPr>
        <w:t>等</w:t>
      </w:r>
      <w:r>
        <w:rPr>
          <w:rFonts w:ascii="黑体" w:eastAsia="黑体" w:hAnsi="宋体" w:hint="eastAsia"/>
          <w:b/>
          <w:sz w:val="44"/>
          <w:szCs w:val="44"/>
        </w:rPr>
        <w:t xml:space="preserve"> </w:t>
      </w:r>
      <w:r>
        <w:rPr>
          <w:rFonts w:ascii="黑体" w:eastAsia="黑体" w:hAnsi="宋体" w:hint="eastAsia"/>
          <w:b/>
          <w:sz w:val="44"/>
          <w:szCs w:val="44"/>
        </w:rPr>
        <w:t>奖</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从律师和法学专家中公开选拔法官的现状检视与制度完善</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北京市第二中级人民法院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马巍</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新型审判团队运行与管理的方法论建构——以风险防控为视角</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lastRenderedPageBreak/>
        <w:t>北京市密云区人民法院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鲁跃晗</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行政案件诉前协调机制的思辨与构建——以</w:t>
      </w:r>
      <w:r>
        <w:rPr>
          <w:rFonts w:ascii="楷体_GB2312" w:eastAsia="楷体_GB2312" w:hAnsi="楷体_GB2312" w:cs="楷体_GB2312" w:hint="eastAsia"/>
          <w:sz w:val="24"/>
          <w:lang w:bidi="ar"/>
        </w:rPr>
        <w:t>B</w:t>
      </w:r>
      <w:r>
        <w:rPr>
          <w:rFonts w:ascii="楷体_GB2312" w:eastAsia="楷体_GB2312" w:hAnsi="楷体_GB2312" w:cs="楷体_GB2312" w:hint="eastAsia"/>
          <w:sz w:val="24"/>
          <w:lang w:bidi="ar"/>
        </w:rPr>
        <w:t>市法院</w:t>
      </w:r>
      <w:r>
        <w:rPr>
          <w:rFonts w:ascii="楷体_GB2312" w:eastAsia="楷体_GB2312" w:hAnsi="楷体_GB2312" w:cs="楷体_GB2312" w:hint="eastAsia"/>
          <w:sz w:val="24"/>
          <w:lang w:bidi="ar"/>
        </w:rPr>
        <w:t>884</w:t>
      </w:r>
      <w:r>
        <w:rPr>
          <w:rFonts w:ascii="楷体_GB2312" w:eastAsia="楷体_GB2312" w:hAnsi="楷体_GB2312" w:cs="楷体_GB2312" w:hint="eastAsia"/>
          <w:sz w:val="24"/>
          <w:lang w:bidi="ar"/>
        </w:rPr>
        <w:t>件“缠诉案”为切入</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北京市海淀区人民法院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刘艳新</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陈晨</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网络执行查控系统的区块链改革</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北京市东城区人民法院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程新桐</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行为执行中意思表示请求权的执行制度构建——以执行依据拟制债务人意思表示为执行方式</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北京市大兴区人民法院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李思锦</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各擅其长：陪审制七人合议庭法官指引的二元模式构建——以个案核心事实与边际事实的差异性考量为视角</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北京市门头沟区人民法院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梅宇</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王睿涵</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独任庭与合议庭转换的机制构建与选择适用标准——以中级人民法院民事二审案件适用独任制为切入点</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北京市大兴区人民法院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陈琨</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从“宏观指导”到“微观挖潜”：民商事审判流程运行精细管理模式构建——基于审判权运行可度量模型的分析</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北京市丰台区人民法院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钟秋玲</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王培松</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刑事裁判文书说理改革视域中的通说运用——以规范化为中心</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北京市第四中级人民法院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江珞伊</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让公正听得见：法官庭</w:t>
      </w:r>
      <w:r>
        <w:rPr>
          <w:rFonts w:ascii="楷体_GB2312" w:eastAsia="楷体_GB2312" w:hAnsi="楷体_GB2312" w:cs="楷体_GB2312" w:hint="eastAsia"/>
          <w:sz w:val="24"/>
          <w:lang w:bidi="ar"/>
        </w:rPr>
        <w:t>审语言的规范路径研究——“逻辑语篇</w:t>
      </w:r>
      <w:r>
        <w:rPr>
          <w:rFonts w:ascii="楷体_GB2312" w:eastAsia="楷体_GB2312" w:hAnsi="楷体_GB2312" w:cs="楷体_GB2312" w:hint="eastAsia"/>
          <w:sz w:val="24"/>
          <w:lang w:bidi="ar"/>
        </w:rPr>
        <w:t>-</w:t>
      </w:r>
      <w:r>
        <w:rPr>
          <w:rFonts w:ascii="楷体_GB2312" w:eastAsia="楷体_GB2312" w:hAnsi="楷体_GB2312" w:cs="楷体_GB2312" w:hint="eastAsia"/>
          <w:sz w:val="24"/>
          <w:lang w:bidi="ar"/>
        </w:rPr>
        <w:t>目的语境</w:t>
      </w:r>
      <w:r>
        <w:rPr>
          <w:rFonts w:ascii="楷体_GB2312" w:eastAsia="楷体_GB2312" w:hAnsi="楷体_GB2312" w:cs="楷体_GB2312" w:hint="eastAsia"/>
          <w:sz w:val="24"/>
          <w:lang w:bidi="ar"/>
        </w:rPr>
        <w:t>-</w:t>
      </w:r>
      <w:r>
        <w:rPr>
          <w:rFonts w:ascii="楷体_GB2312" w:eastAsia="楷体_GB2312" w:hAnsi="楷体_GB2312" w:cs="楷体_GB2312" w:hint="eastAsia"/>
          <w:sz w:val="24"/>
          <w:lang w:bidi="ar"/>
        </w:rPr>
        <w:t>策略语用”之融合</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北京市第二中级人民法院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孙盈</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姜源</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lastRenderedPageBreak/>
        <w:t>从“比例原则”到“三阶审查”：财产保全与执行网络查控系统衔接的偏差与修正</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北京市丰台区人民法院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宋如超</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郑莉</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僵尸企业司法处置之“立审执破”一盘棋机制构建——基于执行合同和办理破产的双维实证检视与渐进决策</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北京市门头沟区人民法院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袁晓北</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唐达</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驳与证的逻辑推演：辩护意见回应之说理范式研究——以</w:t>
      </w:r>
      <w:r>
        <w:rPr>
          <w:rFonts w:ascii="楷体_GB2312" w:eastAsia="楷体_GB2312" w:hAnsi="楷体_GB2312" w:cs="楷体_GB2312" w:hint="eastAsia"/>
          <w:sz w:val="24"/>
          <w:lang w:bidi="ar"/>
        </w:rPr>
        <w:t>88</w:t>
      </w:r>
      <w:r>
        <w:rPr>
          <w:rFonts w:ascii="楷体_GB2312" w:eastAsia="楷体_GB2312" w:hAnsi="楷体_GB2312" w:cs="楷体_GB2312" w:hint="eastAsia"/>
          <w:sz w:val="24"/>
          <w:lang w:bidi="ar"/>
        </w:rPr>
        <w:t>份优秀刑事裁判文书为样本</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天津市高级人民法院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钱岩</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框架性合同争议的仲裁协议效力扩张规则研究</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天津市第二中级人民法院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赵旭</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刘建奇</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追寻舆情背后的声音：依法办理与社会共识鸿沟弥合之思考</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天津市第二中级人民法院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刘希婧</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审级功能视角下民事案件二审独任制的理性构建</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天津市第二中级人民法院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张子杰</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北京市第二中级人民法院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张科</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杨超</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从逻辑判断到价值判断：刑事裁判思维形式化倾向的风险防范——以拉德布鲁赫公式为镜鉴</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天津市第一中级人民法院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李杨</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技术类民事案件适用先行判决的正当思辨与规则构建</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北京知识产权法院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罗素云</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山西省高级人民法院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刘涌</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lastRenderedPageBreak/>
        <w:t>增效与便民：智能客服助推构建法院现代化诉讼服务体系——基于对</w:t>
      </w:r>
      <w:r>
        <w:rPr>
          <w:rFonts w:ascii="楷体_GB2312" w:eastAsia="楷体_GB2312" w:hAnsi="楷体_GB2312" w:cs="楷体_GB2312" w:hint="eastAsia"/>
          <w:sz w:val="24"/>
          <w:lang w:bidi="ar"/>
        </w:rPr>
        <w:t>T</w:t>
      </w:r>
      <w:r>
        <w:rPr>
          <w:rFonts w:ascii="楷体_GB2312" w:eastAsia="楷体_GB2312" w:hAnsi="楷体_GB2312" w:cs="楷体_GB2312" w:hint="eastAsia"/>
          <w:sz w:val="24"/>
          <w:lang w:bidi="ar"/>
        </w:rPr>
        <w:t>法院法官电话接待情况的实证考察</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北京市通州区人民法院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徐廷杰</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张培</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山西省孝义市人民法院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侯济平</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创新型多元化纠纷解决机制的构建与完善——以在线纠纷解决机制的应用探索为视角</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山西省大宁县人民法院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王进东</w:t>
      </w:r>
    </w:p>
    <w:p w:rsidR="002E67B1" w:rsidRDefault="009C088F">
      <w:pPr>
        <w:rPr>
          <w:rFonts w:ascii="楷体_GB2312" w:eastAsia="楷体_GB2312" w:hAnsi="楷体_GB2312" w:cs="楷体_GB2312"/>
          <w:sz w:val="24"/>
          <w:lang w:bidi="ar"/>
        </w:rPr>
      </w:pPr>
      <w:r>
        <w:rPr>
          <w:rFonts w:ascii="楷体_GB2312" w:eastAsia="楷体_GB2312" w:hAnsi="楷体_GB2312" w:cs="楷体_GB2312"/>
          <w:sz w:val="24"/>
          <w:lang w:bidi="ar"/>
        </w:rPr>
        <w:t>司法责任制背景下法官考核评价机制的反思与重构</w:t>
      </w:r>
      <w:r>
        <w:rPr>
          <w:rFonts w:ascii="楷体_GB2312" w:eastAsia="楷体_GB2312" w:hAnsi="楷体_GB2312" w:cs="楷体_GB2312"/>
          <w:sz w:val="24"/>
          <w:lang w:bidi="ar"/>
        </w:rPr>
        <w:t>——</w:t>
      </w:r>
      <w:r>
        <w:rPr>
          <w:rFonts w:ascii="楷体_GB2312" w:eastAsia="楷体_GB2312" w:hAnsi="楷体_GB2312" w:cs="楷体_GB2312"/>
          <w:sz w:val="24"/>
          <w:lang w:bidi="ar"/>
        </w:rPr>
        <w:t>以放权与监督困惑中的案件质效问题为切入点</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sz w:val="24"/>
          <w:lang w:bidi="ar"/>
        </w:rPr>
        <w:t>黑龙江省鸡西市鸡冠区人民法院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马宝君</w:t>
      </w:r>
    </w:p>
    <w:p w:rsidR="002E67B1" w:rsidRDefault="009C088F">
      <w:pPr>
        <w:rPr>
          <w:rFonts w:ascii="楷体_GB2312" w:eastAsia="楷体_GB2312" w:hAnsi="楷体_GB2312" w:cs="楷体_GB2312"/>
          <w:sz w:val="24"/>
          <w:lang w:bidi="ar"/>
        </w:rPr>
      </w:pPr>
      <w:r>
        <w:rPr>
          <w:rFonts w:ascii="楷体_GB2312" w:eastAsia="楷体_GB2312" w:hAnsi="楷体_GB2312" w:cs="楷体_GB2312"/>
          <w:sz w:val="24"/>
          <w:lang w:bidi="ar"/>
        </w:rPr>
        <w:t>论诉的合并纳入民商事办案量评价机制的路径与方法</w:t>
      </w:r>
      <w:r>
        <w:rPr>
          <w:rFonts w:ascii="楷体_GB2312" w:eastAsia="楷体_GB2312" w:hAnsi="楷体_GB2312" w:cs="楷体_GB2312"/>
          <w:sz w:val="24"/>
          <w:lang w:bidi="ar"/>
        </w:rPr>
        <w:t>——</w:t>
      </w:r>
      <w:r>
        <w:rPr>
          <w:rFonts w:ascii="楷体_GB2312" w:eastAsia="楷体_GB2312" w:hAnsi="楷体_GB2312" w:cs="楷体_GB2312"/>
          <w:sz w:val="24"/>
          <w:lang w:bidi="ar"/>
        </w:rPr>
        <w:t>以</w:t>
      </w:r>
      <w:r>
        <w:rPr>
          <w:rFonts w:ascii="楷体_GB2312" w:eastAsia="楷体_GB2312" w:hAnsi="楷体_GB2312" w:cs="楷体_GB2312"/>
          <w:sz w:val="24"/>
          <w:lang w:bidi="ar"/>
        </w:rPr>
        <w:t>B</w:t>
      </w:r>
      <w:r>
        <w:rPr>
          <w:rFonts w:ascii="楷体_GB2312" w:eastAsia="楷体_GB2312" w:hAnsi="楷体_GB2312" w:cs="楷体_GB2312"/>
          <w:sz w:val="24"/>
          <w:lang w:bidi="ar"/>
        </w:rPr>
        <w:t>市法院为例</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sz w:val="24"/>
          <w:lang w:bidi="ar"/>
        </w:rPr>
        <w:t>北京市大兴区人民法院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马超雄</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sz w:val="24"/>
          <w:lang w:bidi="ar"/>
        </w:rPr>
        <w:t>黑龙江省佳</w:t>
      </w:r>
      <w:r>
        <w:rPr>
          <w:rFonts w:ascii="楷体_GB2312" w:eastAsia="楷体_GB2312" w:hAnsi="楷体_GB2312" w:cs="楷体_GB2312"/>
          <w:sz w:val="24"/>
          <w:lang w:bidi="ar"/>
        </w:rPr>
        <w:t>木斯市中级人民法院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霍红光</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sz w:val="24"/>
          <w:lang w:bidi="ar"/>
        </w:rPr>
        <w:t>黑龙江省绥化市中级人民法院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王贺</w:t>
      </w:r>
    </w:p>
    <w:p w:rsidR="002E67B1" w:rsidRDefault="009C088F">
      <w:pPr>
        <w:rPr>
          <w:rFonts w:ascii="楷体_GB2312" w:eastAsia="楷体_GB2312" w:hAnsi="楷体_GB2312" w:cs="楷体_GB2312"/>
          <w:sz w:val="24"/>
          <w:lang w:bidi="ar"/>
        </w:rPr>
      </w:pPr>
      <w:r>
        <w:rPr>
          <w:rFonts w:ascii="楷体_GB2312" w:eastAsia="楷体_GB2312" w:hAnsi="楷体_GB2312" w:cs="楷体_GB2312"/>
          <w:sz w:val="24"/>
          <w:lang w:bidi="ar"/>
        </w:rPr>
        <w:t>刑事判决书量刑说理问题实证研究</w:t>
      </w:r>
      <w:r>
        <w:rPr>
          <w:rFonts w:ascii="楷体_GB2312" w:eastAsia="楷体_GB2312" w:hAnsi="楷体_GB2312" w:cs="楷体_GB2312"/>
          <w:sz w:val="24"/>
          <w:lang w:bidi="ar"/>
        </w:rPr>
        <w:t>——</w:t>
      </w:r>
      <w:r>
        <w:rPr>
          <w:rFonts w:ascii="楷体_GB2312" w:eastAsia="楷体_GB2312" w:hAnsi="楷体_GB2312" w:cs="楷体_GB2312"/>
          <w:sz w:val="24"/>
          <w:lang w:bidi="ar"/>
        </w:rPr>
        <w:t>以中国裁判文书网</w:t>
      </w:r>
      <w:r>
        <w:rPr>
          <w:rFonts w:ascii="楷体_GB2312" w:eastAsia="楷体_GB2312" w:hAnsi="楷体_GB2312" w:cs="楷体_GB2312"/>
          <w:sz w:val="24"/>
          <w:lang w:bidi="ar"/>
        </w:rPr>
        <w:t>200</w:t>
      </w:r>
      <w:r>
        <w:rPr>
          <w:rFonts w:ascii="楷体_GB2312" w:eastAsia="楷体_GB2312" w:hAnsi="楷体_GB2312" w:cs="楷体_GB2312"/>
          <w:sz w:val="24"/>
          <w:lang w:bidi="ar"/>
        </w:rPr>
        <w:t>份判决书为样本</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sz w:val="24"/>
          <w:lang w:bidi="ar"/>
        </w:rPr>
        <w:t>北京市大兴区人民法院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孙青</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李慧娅</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sz w:val="24"/>
          <w:lang w:bidi="ar"/>
        </w:rPr>
        <w:t>黑龙江省佳木斯市中级人民法院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高阳</w:t>
      </w:r>
    </w:p>
    <w:p w:rsidR="002E67B1" w:rsidRDefault="009C088F">
      <w:pPr>
        <w:rPr>
          <w:rFonts w:ascii="楷体_GB2312" w:eastAsia="楷体_GB2312" w:hAnsi="楷体_GB2312" w:cs="楷体_GB2312"/>
          <w:sz w:val="24"/>
          <w:lang w:bidi="ar"/>
        </w:rPr>
      </w:pPr>
      <w:r>
        <w:rPr>
          <w:rFonts w:ascii="楷体_GB2312" w:eastAsia="楷体_GB2312" w:hAnsi="楷体_GB2312" w:cs="楷体_GB2312"/>
          <w:sz w:val="24"/>
          <w:lang w:bidi="ar"/>
        </w:rPr>
        <w:t>寻径、探路与添翼：以要素式快审法优化行政案件审理路径</w:t>
      </w:r>
      <w:r>
        <w:rPr>
          <w:rFonts w:ascii="楷体_GB2312" w:eastAsia="楷体_GB2312" w:hAnsi="楷体_GB2312" w:cs="楷体_GB2312"/>
          <w:sz w:val="24"/>
          <w:lang w:bidi="ar"/>
        </w:rPr>
        <w:t>——</w:t>
      </w:r>
      <w:r>
        <w:rPr>
          <w:rFonts w:ascii="楷体_GB2312" w:eastAsia="楷体_GB2312" w:hAnsi="楷体_GB2312" w:cs="楷体_GB2312"/>
          <w:sz w:val="24"/>
          <w:lang w:bidi="ar"/>
        </w:rPr>
        <w:t>以</w:t>
      </w:r>
      <w:r>
        <w:rPr>
          <w:rFonts w:ascii="楷体_GB2312" w:eastAsia="楷体_GB2312" w:hAnsi="楷体_GB2312" w:cs="楷体_GB2312"/>
          <w:sz w:val="24"/>
          <w:lang w:bidi="ar"/>
        </w:rPr>
        <w:t>G</w:t>
      </w:r>
      <w:r>
        <w:rPr>
          <w:rFonts w:ascii="楷体_GB2312" w:eastAsia="楷体_GB2312" w:hAnsi="楷体_GB2312" w:cs="楷体_GB2312"/>
          <w:sz w:val="24"/>
          <w:lang w:bidi="ar"/>
        </w:rPr>
        <w:t>省</w:t>
      </w:r>
      <w:r>
        <w:rPr>
          <w:rFonts w:ascii="楷体_GB2312" w:eastAsia="楷体_GB2312" w:hAnsi="楷体_GB2312" w:cs="楷体_GB2312"/>
          <w:sz w:val="24"/>
          <w:lang w:bidi="ar"/>
        </w:rPr>
        <w:t>J</w:t>
      </w:r>
      <w:r>
        <w:rPr>
          <w:rFonts w:ascii="楷体_GB2312" w:eastAsia="楷体_GB2312" w:hAnsi="楷体_GB2312" w:cs="楷体_GB2312"/>
          <w:sz w:val="24"/>
          <w:lang w:bidi="ar"/>
        </w:rPr>
        <w:t>区法院集中管辖</w:t>
      </w:r>
      <w:r>
        <w:rPr>
          <w:rFonts w:ascii="楷体_GB2312" w:eastAsia="楷体_GB2312" w:hAnsi="楷体_GB2312" w:cs="楷体_GB2312"/>
          <w:sz w:val="24"/>
          <w:lang w:bidi="ar"/>
        </w:rPr>
        <w:t>1630</w:t>
      </w:r>
      <w:r>
        <w:rPr>
          <w:rFonts w:ascii="楷体_GB2312" w:eastAsia="楷体_GB2312" w:hAnsi="楷体_GB2312" w:cs="楷体_GB2312"/>
          <w:sz w:val="24"/>
          <w:lang w:bidi="ar"/>
        </w:rPr>
        <w:t>件行政案件为</w:t>
      </w:r>
      <w:r>
        <w:rPr>
          <w:rFonts w:ascii="楷体_GB2312" w:eastAsia="楷体_GB2312" w:hAnsi="楷体_GB2312" w:cs="楷体_GB2312"/>
          <w:sz w:val="24"/>
          <w:lang w:bidi="ar"/>
        </w:rPr>
        <w:t>“</w:t>
      </w:r>
      <w:r>
        <w:rPr>
          <w:rFonts w:ascii="楷体_GB2312" w:eastAsia="楷体_GB2312" w:hAnsi="楷体_GB2312" w:cs="楷体_GB2312"/>
          <w:sz w:val="24"/>
          <w:lang w:bidi="ar"/>
        </w:rPr>
        <w:t>考察筛选基础上的</w:t>
      </w:r>
      <w:r>
        <w:rPr>
          <w:rFonts w:ascii="楷体_GB2312" w:eastAsia="楷体_GB2312" w:hAnsi="楷体_GB2312" w:cs="楷体_GB2312"/>
          <w:sz w:val="24"/>
          <w:lang w:bidi="ar"/>
        </w:rPr>
        <w:t>“</w:t>
      </w:r>
      <w:r>
        <w:rPr>
          <w:rFonts w:ascii="楷体_GB2312" w:eastAsia="楷体_GB2312" w:hAnsi="楷体_GB2312" w:cs="楷体_GB2312"/>
          <w:sz w:val="24"/>
          <w:lang w:bidi="ar"/>
        </w:rPr>
        <w:t>要素提炼</w:t>
      </w:r>
      <w:r>
        <w:rPr>
          <w:rFonts w:ascii="楷体_GB2312" w:eastAsia="楷体_GB2312" w:hAnsi="楷体_GB2312" w:cs="楷体_GB2312"/>
          <w:sz w:val="24"/>
          <w:lang w:bidi="ar"/>
        </w:rPr>
        <w:t>”</w:t>
      </w:r>
      <w:r>
        <w:rPr>
          <w:rFonts w:ascii="楷体_GB2312" w:eastAsia="楷体_GB2312" w:hAnsi="楷体_GB2312" w:cs="楷体_GB2312"/>
          <w:sz w:val="24"/>
          <w:lang w:bidi="ar"/>
        </w:rPr>
        <w:t>样本</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sz w:val="24"/>
          <w:lang w:bidi="ar"/>
        </w:rPr>
        <w:t>广东省江门市江海区人民法院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廖杰华</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sz w:val="24"/>
          <w:lang w:bidi="ar"/>
        </w:rPr>
        <w:t>黑龙江省齐齐哈尔市中级人民法院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孙嘉宇</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sz w:val="24"/>
          <w:lang w:bidi="ar"/>
        </w:rPr>
        <w:t>黑龙江省牡丹江市中级人民法院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张鹏坤</w:t>
      </w:r>
    </w:p>
    <w:p w:rsidR="002E67B1" w:rsidRDefault="009C088F">
      <w:pPr>
        <w:rPr>
          <w:rFonts w:ascii="楷体_GB2312" w:eastAsia="楷体_GB2312" w:hAnsi="楷体_GB2312" w:cs="楷体_GB2312"/>
          <w:sz w:val="24"/>
          <w:lang w:bidi="ar"/>
        </w:rPr>
      </w:pPr>
      <w:r>
        <w:rPr>
          <w:rFonts w:ascii="楷体_GB2312" w:eastAsia="楷体_GB2312" w:hAnsi="楷体_GB2312" w:cs="楷体_GB2312"/>
          <w:sz w:val="24"/>
          <w:lang w:bidi="ar"/>
        </w:rPr>
        <w:lastRenderedPageBreak/>
        <w:t>正义不缺席：缺席审理中法官事实认定偏差及其纠正</w:t>
      </w:r>
      <w:r>
        <w:rPr>
          <w:rFonts w:ascii="楷体_GB2312" w:eastAsia="楷体_GB2312" w:hAnsi="楷体_GB2312" w:cs="楷体_GB2312"/>
          <w:sz w:val="24"/>
          <w:lang w:bidi="ar"/>
        </w:rPr>
        <w:t>——</w:t>
      </w:r>
      <w:r>
        <w:rPr>
          <w:rFonts w:ascii="楷体_GB2312" w:eastAsia="楷体_GB2312" w:hAnsi="楷体_GB2312" w:cs="楷体_GB2312"/>
          <w:sz w:val="24"/>
          <w:lang w:bidi="ar"/>
        </w:rPr>
        <w:t>以平等保障当事人合法权益为进路</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sz w:val="24"/>
          <w:lang w:bidi="ar"/>
        </w:rPr>
        <w:t>北京市大兴区人民法院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李新亮</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sz w:val="24"/>
          <w:lang w:bidi="ar"/>
        </w:rPr>
        <w:t>黑龙江省佳木斯市中级人民法院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姜广武</w:t>
      </w:r>
    </w:p>
    <w:p w:rsidR="002E67B1" w:rsidRDefault="009C088F">
      <w:pPr>
        <w:rPr>
          <w:rFonts w:ascii="楷体_GB2312" w:eastAsia="楷体_GB2312" w:hAnsi="楷体_GB2312" w:cs="楷体_GB2312"/>
          <w:sz w:val="24"/>
          <w:lang w:bidi="ar"/>
        </w:rPr>
      </w:pPr>
      <w:r>
        <w:rPr>
          <w:rFonts w:ascii="楷体_GB2312" w:eastAsia="楷体_GB2312" w:hAnsi="楷体_GB2312" w:cs="楷体_GB2312"/>
          <w:sz w:val="24"/>
          <w:lang w:bidi="ar"/>
        </w:rPr>
        <w:t>执行中股东认缴出资期限的加速到期探析</w:t>
      </w:r>
      <w:r>
        <w:rPr>
          <w:rFonts w:ascii="楷体_GB2312" w:eastAsia="楷体_GB2312" w:hAnsi="楷体_GB2312" w:cs="楷体_GB2312"/>
          <w:sz w:val="24"/>
          <w:lang w:bidi="ar"/>
        </w:rPr>
        <w:t>——</w:t>
      </w:r>
      <w:r>
        <w:rPr>
          <w:rFonts w:ascii="楷体_GB2312" w:eastAsia="楷体_GB2312" w:hAnsi="楷体_GB2312" w:cs="楷体_GB2312"/>
          <w:sz w:val="24"/>
          <w:lang w:bidi="ar"/>
        </w:rPr>
        <w:t>以债权人利益与股东出资期限利益平衡为视角</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黑龙江省哈尔滨市中级人民法院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王梦薇</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确认之诉“中间化”现象的反思与矫正——以合同纠纷一次性解决为视角</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上海市第二中级人民法院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沈宸</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审判权力运行风险防控体系的探索与构建——以</w:t>
      </w:r>
      <w:r>
        <w:rPr>
          <w:rFonts w:ascii="楷体_GB2312" w:eastAsia="楷体_GB2312" w:hAnsi="楷体_GB2312" w:cs="楷体_GB2312" w:hint="eastAsia"/>
          <w:sz w:val="24"/>
          <w:lang w:bidi="ar"/>
        </w:rPr>
        <w:t>S</w:t>
      </w:r>
      <w:r>
        <w:rPr>
          <w:rFonts w:ascii="楷体_GB2312" w:eastAsia="楷体_GB2312" w:hAnsi="楷体_GB2312" w:cs="楷体_GB2312" w:hint="eastAsia"/>
          <w:sz w:val="24"/>
          <w:lang w:bidi="ar"/>
        </w:rPr>
        <w:t>市法院的实践为分析样本</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上海市高级人民法院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顾全</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俞小海</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论司法改革背景下法院奖励的困境与出路——以</w:t>
      </w:r>
      <w:r>
        <w:rPr>
          <w:rFonts w:ascii="楷体_GB2312" w:eastAsia="楷体_GB2312" w:hAnsi="楷体_GB2312" w:cs="楷体_GB2312" w:hint="eastAsia"/>
          <w:sz w:val="24"/>
          <w:lang w:bidi="ar"/>
        </w:rPr>
        <w:t>S</w:t>
      </w:r>
      <w:r>
        <w:rPr>
          <w:rFonts w:ascii="楷体_GB2312" w:eastAsia="楷体_GB2312" w:hAnsi="楷体_GB2312" w:cs="楷体_GB2312" w:hint="eastAsia"/>
          <w:sz w:val="24"/>
          <w:lang w:bidi="ar"/>
        </w:rPr>
        <w:t>省法院奖励工作实践为例展开</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上海市奉贤区人民法院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黄训迪</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朱曼曼</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审判风险的分析、评价与控制机制研究</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上海市高级人民法院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伍红梅</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检视与探索：远程庭审规范化发展的困境与解局</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上海铁路运输法院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聂小兰</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从局面经验到一般命题：“法官型助理”制度的考察与反思——兼论上级法院法官“三阶层”养成模式</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上海市高级人民法院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叶锋</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责任与伦理：法官职业伦理责任的缺位与补足</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lastRenderedPageBreak/>
        <w:t>上海市闵行区人民法院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王伟</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检察长列席审判委员会会议制度的功能检视与规则完善</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上海市杨浦区人民法院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周圣</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张玙</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反思与重构：个人债务清理路径探究——基于</w:t>
      </w:r>
      <w:r>
        <w:rPr>
          <w:rFonts w:ascii="楷体_GB2312" w:eastAsia="楷体_GB2312" w:hAnsi="楷体_GB2312" w:cs="楷体_GB2312" w:hint="eastAsia"/>
          <w:sz w:val="24"/>
          <w:lang w:bidi="ar"/>
        </w:rPr>
        <w:t>S</w:t>
      </w:r>
      <w:r>
        <w:rPr>
          <w:rFonts w:ascii="楷体_GB2312" w:eastAsia="楷体_GB2312" w:hAnsi="楷体_GB2312" w:cs="楷体_GB2312" w:hint="eastAsia"/>
          <w:sz w:val="24"/>
          <w:lang w:bidi="ar"/>
        </w:rPr>
        <w:t>市近五年分配方案异议之诉的实证分析</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上海市第二中级人民法院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沈洁</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“谁动了我的股权”：股权代持执行异议之诉运行制度的检视与完善——以近三年</w:t>
      </w:r>
      <w:r>
        <w:rPr>
          <w:rFonts w:ascii="楷体_GB2312" w:eastAsia="楷体_GB2312" w:hAnsi="楷体_GB2312" w:cs="楷体_GB2312" w:hint="eastAsia"/>
          <w:sz w:val="24"/>
          <w:lang w:bidi="ar"/>
        </w:rPr>
        <w:t>86</w:t>
      </w:r>
      <w:r>
        <w:rPr>
          <w:rFonts w:ascii="楷体_GB2312" w:eastAsia="楷体_GB2312" w:hAnsi="楷体_GB2312" w:cs="楷体_GB2312" w:hint="eastAsia"/>
          <w:sz w:val="24"/>
          <w:lang w:bidi="ar"/>
        </w:rPr>
        <w:t>例民事判决书为样本</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上海市虹口区人民法院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梁聪聪</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司法政策个案实施的困境与出路——以最高法院政策性文件的实施为例</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上海市浦东新区人民法院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余韬</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深耕职业期许：聘用制书记员管理模式的实证图景与理想建构——基于</w:t>
      </w:r>
      <w:r>
        <w:rPr>
          <w:rFonts w:ascii="楷体_GB2312" w:eastAsia="楷体_GB2312" w:hAnsi="楷体_GB2312" w:cs="楷体_GB2312" w:hint="eastAsia"/>
          <w:sz w:val="24"/>
          <w:lang w:bidi="ar"/>
        </w:rPr>
        <w:t>S</w:t>
      </w:r>
      <w:r>
        <w:rPr>
          <w:rFonts w:ascii="楷体_GB2312" w:eastAsia="楷体_GB2312" w:hAnsi="楷体_GB2312" w:cs="楷体_GB2312" w:hint="eastAsia"/>
          <w:sz w:val="24"/>
          <w:lang w:bidi="ar"/>
        </w:rPr>
        <w:t>市</w:t>
      </w:r>
      <w:r>
        <w:rPr>
          <w:rFonts w:ascii="楷体_GB2312" w:eastAsia="楷体_GB2312" w:hAnsi="楷体_GB2312" w:cs="楷体_GB2312" w:hint="eastAsia"/>
          <w:sz w:val="24"/>
          <w:lang w:bidi="ar"/>
        </w:rPr>
        <w:t>F</w:t>
      </w:r>
      <w:r>
        <w:rPr>
          <w:rFonts w:ascii="楷体_GB2312" w:eastAsia="楷体_GB2312" w:hAnsi="楷体_GB2312" w:cs="楷体_GB2312" w:hint="eastAsia"/>
          <w:sz w:val="24"/>
          <w:lang w:bidi="ar"/>
        </w:rPr>
        <w:t>区人民法院实践样本的考</w:t>
      </w:r>
      <w:r>
        <w:rPr>
          <w:rFonts w:ascii="楷体_GB2312" w:eastAsia="楷体_GB2312" w:hAnsi="楷体_GB2312" w:cs="楷体_GB2312" w:hint="eastAsia"/>
          <w:sz w:val="24"/>
          <w:lang w:bidi="ar"/>
        </w:rPr>
        <w:t>察</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上海市奉贤区人民法院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罗婷</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刑事裁判权在法官与陪审员之间的分配模式及路径选择——兼论刑事七人合议庭中事实问题与法律问题的区分</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上海市第一中级人民法院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余剑</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吴亚安</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破解人民陪审员参审案件中事实问题与法律问题区分之困境——基于</w:t>
      </w:r>
      <w:r>
        <w:rPr>
          <w:rFonts w:ascii="楷体_GB2312" w:eastAsia="楷体_GB2312" w:hAnsi="楷体_GB2312" w:cs="楷体_GB2312" w:hint="eastAsia"/>
          <w:sz w:val="24"/>
          <w:lang w:bidi="ar"/>
        </w:rPr>
        <w:t>39</w:t>
      </w:r>
      <w:r>
        <w:rPr>
          <w:rFonts w:ascii="楷体_GB2312" w:eastAsia="楷体_GB2312" w:hAnsi="楷体_GB2312" w:cs="楷体_GB2312" w:hint="eastAsia"/>
          <w:sz w:val="24"/>
          <w:lang w:bidi="ar"/>
        </w:rPr>
        <w:t>份环境民事公益诉讼判决书的实证分析</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上海市徐汇区人民法院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纪昀</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论错误申请财产保全损害的弥补及标准——以补偿责任与赔偿责任的二分为</w:t>
      </w:r>
      <w:r>
        <w:rPr>
          <w:rFonts w:ascii="楷体_GB2312" w:eastAsia="楷体_GB2312" w:hAnsi="楷体_GB2312" w:cs="楷体_GB2312" w:hint="eastAsia"/>
          <w:sz w:val="24"/>
          <w:lang w:bidi="ar"/>
        </w:rPr>
        <w:lastRenderedPageBreak/>
        <w:t>视角</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lastRenderedPageBreak/>
        <w:t>江苏省常州经济开发区人民法院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何健宏</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人民法院风险防控机制研究——基于</w:t>
      </w:r>
      <w:r>
        <w:rPr>
          <w:rFonts w:ascii="楷体_GB2312" w:eastAsia="楷体_GB2312" w:hAnsi="楷体_GB2312" w:cs="楷体_GB2312" w:hint="eastAsia"/>
          <w:sz w:val="24"/>
          <w:lang w:bidi="ar"/>
        </w:rPr>
        <w:t>2005</w:t>
      </w:r>
      <w:r>
        <w:rPr>
          <w:rFonts w:ascii="楷体_GB2312" w:eastAsia="楷体_GB2312" w:hAnsi="楷体_GB2312" w:cs="楷体_GB2312" w:hint="eastAsia"/>
          <w:sz w:val="24"/>
          <w:lang w:bidi="ar"/>
        </w:rPr>
        <w:t>－</w:t>
      </w:r>
      <w:r>
        <w:rPr>
          <w:rFonts w:ascii="楷体_GB2312" w:eastAsia="楷体_GB2312" w:hAnsi="楷体_GB2312" w:cs="楷体_GB2312" w:hint="eastAsia"/>
          <w:sz w:val="24"/>
          <w:lang w:bidi="ar"/>
        </w:rPr>
        <w:t>2018</w:t>
      </w:r>
      <w:r>
        <w:rPr>
          <w:rFonts w:ascii="楷体_GB2312" w:eastAsia="楷体_GB2312" w:hAnsi="楷体_GB2312" w:cs="楷体_GB2312" w:hint="eastAsia"/>
          <w:sz w:val="24"/>
          <w:lang w:bidi="ar"/>
        </w:rPr>
        <w:t>年</w:t>
      </w:r>
      <w:r>
        <w:rPr>
          <w:rFonts w:ascii="楷体_GB2312" w:eastAsia="楷体_GB2312" w:hAnsi="楷体_GB2312" w:cs="楷体_GB2312" w:hint="eastAsia"/>
          <w:sz w:val="24"/>
          <w:lang w:bidi="ar"/>
        </w:rPr>
        <w:t>140</w:t>
      </w:r>
      <w:r>
        <w:rPr>
          <w:rFonts w:ascii="楷体_GB2312" w:eastAsia="楷体_GB2312" w:hAnsi="楷体_GB2312" w:cs="楷体_GB2312" w:hint="eastAsia"/>
          <w:sz w:val="24"/>
          <w:lang w:bidi="ar"/>
        </w:rPr>
        <w:t>个影响性诉讼的实证分析</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南京铁路运输法</w:t>
      </w:r>
      <w:r>
        <w:rPr>
          <w:rFonts w:ascii="楷体_GB2312" w:eastAsia="楷体_GB2312" w:hAnsi="楷体_GB2312" w:cs="楷体_GB2312" w:hint="eastAsia"/>
          <w:sz w:val="24"/>
          <w:lang w:bidi="ar"/>
        </w:rPr>
        <w:t>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李彬</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衣硕朋</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刘颖</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陪审实质化：法官指引理性思辨与规则建构——以“争点主线指引规则”之实证推演为视角</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江苏省连云港市赣榆区人民法院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吴玲</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殷蔚</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行政诉讼起诉“高阶化”现象之反思</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江苏省南通市中级人民法院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殷勤</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区块链司法存证技术的检视与规制——以</w:t>
      </w:r>
      <w:r>
        <w:rPr>
          <w:rFonts w:ascii="楷体_GB2312" w:eastAsia="楷体_GB2312" w:hAnsi="楷体_GB2312" w:cs="楷体_GB2312" w:hint="eastAsia"/>
          <w:sz w:val="24"/>
          <w:lang w:bidi="ar"/>
        </w:rPr>
        <w:t>1088</w:t>
      </w:r>
      <w:r>
        <w:rPr>
          <w:rFonts w:ascii="楷体_GB2312" w:eastAsia="楷体_GB2312" w:hAnsi="楷体_GB2312" w:cs="楷体_GB2312" w:hint="eastAsia"/>
          <w:sz w:val="24"/>
          <w:lang w:bidi="ar"/>
        </w:rPr>
        <w:t>份裁判文书、</w:t>
      </w:r>
      <w:r>
        <w:rPr>
          <w:rFonts w:ascii="楷体_GB2312" w:eastAsia="楷体_GB2312" w:hAnsi="楷体_GB2312" w:cs="楷体_GB2312" w:hint="eastAsia"/>
          <w:sz w:val="24"/>
          <w:lang w:bidi="ar"/>
        </w:rPr>
        <w:t>289</w:t>
      </w:r>
      <w:r>
        <w:rPr>
          <w:rFonts w:ascii="楷体_GB2312" w:eastAsia="楷体_GB2312" w:hAnsi="楷体_GB2312" w:cs="楷体_GB2312" w:hint="eastAsia"/>
          <w:sz w:val="24"/>
          <w:lang w:bidi="ar"/>
        </w:rPr>
        <w:t>份调查问卷为分析样本</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安徽省马鞍山市雨山区人民法院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刘洋</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彭林</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环境民事审判中生态修复责任的规范适用</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福建省石狮市人民法院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苏丽蓉</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福建省泉州市中级人民法院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翁伯明</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立案登记背景下司法风险的识别与防控——以</w:t>
      </w:r>
      <w:r>
        <w:rPr>
          <w:rFonts w:ascii="楷体_GB2312" w:eastAsia="楷体_GB2312" w:hAnsi="楷体_GB2312" w:cs="楷体_GB2312" w:hint="eastAsia"/>
          <w:sz w:val="24"/>
          <w:lang w:bidi="ar"/>
        </w:rPr>
        <w:t>L</w:t>
      </w:r>
      <w:r>
        <w:rPr>
          <w:rFonts w:ascii="楷体_GB2312" w:eastAsia="楷体_GB2312" w:hAnsi="楷体_GB2312" w:cs="楷体_GB2312" w:hint="eastAsia"/>
          <w:sz w:val="24"/>
          <w:lang w:bidi="ar"/>
        </w:rPr>
        <w:t>市两级人民法院为分析样本</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福建省龙岩市中级人民法院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王乔金</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谢雄</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何以“求同”：矩阵范式下类案检索嵌入法官心证过程之检视与重构——以</w:t>
      </w:r>
      <w:r>
        <w:rPr>
          <w:rFonts w:ascii="楷体_GB2312" w:eastAsia="楷体_GB2312" w:hAnsi="楷体_GB2312" w:cs="楷体_GB2312" w:hint="eastAsia"/>
          <w:sz w:val="24"/>
          <w:lang w:bidi="ar"/>
        </w:rPr>
        <w:t>X</w:t>
      </w:r>
      <w:r>
        <w:rPr>
          <w:rFonts w:ascii="楷体_GB2312" w:eastAsia="楷体_GB2312" w:hAnsi="楷体_GB2312" w:cs="楷体_GB2312" w:hint="eastAsia"/>
          <w:sz w:val="24"/>
          <w:lang w:bidi="ar"/>
        </w:rPr>
        <w:t>市</w:t>
      </w:r>
      <w:r>
        <w:rPr>
          <w:rFonts w:ascii="楷体_GB2312" w:eastAsia="楷体_GB2312" w:hAnsi="楷体_GB2312" w:cs="楷体_GB2312" w:hint="eastAsia"/>
          <w:sz w:val="24"/>
          <w:lang w:bidi="ar"/>
        </w:rPr>
        <w:t>300</w:t>
      </w:r>
      <w:r>
        <w:rPr>
          <w:rFonts w:ascii="楷体_GB2312" w:eastAsia="楷体_GB2312" w:hAnsi="楷体_GB2312" w:cs="楷体_GB2312" w:hint="eastAsia"/>
          <w:sz w:val="24"/>
          <w:lang w:bidi="ar"/>
        </w:rPr>
        <w:t>份法官问卷调查为分析样本</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福建省厦门市思明区人民法院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王晨安</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论扁平化审判团队综合配套改革优化管理路径——基于团队管理的实证研究</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lastRenderedPageBreak/>
        <w:t>福建省厦门市中级人民法院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陈平狮</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杨璐屹</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论生态环境损害民事追偿程序双轨制规范进路</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福建省高级人民法院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秦传熙</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福建省厦门市中级人民法院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王中义</w:t>
      </w:r>
    </w:p>
    <w:p w:rsidR="002E67B1" w:rsidRDefault="009C088F">
      <w:pPr>
        <w:rPr>
          <w:rFonts w:ascii="楷体_GB2312" w:eastAsia="楷体_GB2312" w:hAnsi="楷体_GB2312" w:cs="楷体_GB2312"/>
          <w:sz w:val="24"/>
          <w:lang w:bidi="ar"/>
        </w:rPr>
      </w:pPr>
      <w:r>
        <w:rPr>
          <w:rFonts w:ascii="楷体_GB2312" w:eastAsia="楷体_GB2312" w:hAnsi="楷体_GB2312" w:cs="楷体_GB2312"/>
          <w:sz w:val="24"/>
          <w:lang w:bidi="ar"/>
        </w:rPr>
        <w:t>要素式标准：担保物权实现程序审查机制重</w:t>
      </w:r>
      <w:r>
        <w:rPr>
          <w:rFonts w:ascii="楷体_GB2312" w:eastAsia="楷体_GB2312" w:hAnsi="楷体_GB2312" w:cs="楷体_GB2312"/>
          <w:sz w:val="24"/>
          <w:lang w:bidi="ar"/>
        </w:rPr>
        <w:t>构</w:t>
      </w:r>
      <w:r>
        <w:rPr>
          <w:rFonts w:ascii="楷体_GB2312" w:eastAsia="楷体_GB2312" w:hAnsi="楷体_GB2312" w:cs="楷体_GB2312"/>
          <w:sz w:val="24"/>
          <w:lang w:bidi="ar"/>
        </w:rPr>
        <w:t>——</w:t>
      </w:r>
      <w:r>
        <w:rPr>
          <w:rFonts w:ascii="楷体_GB2312" w:eastAsia="楷体_GB2312" w:hAnsi="楷体_GB2312" w:cs="楷体_GB2312"/>
          <w:sz w:val="24"/>
          <w:lang w:bidi="ar"/>
        </w:rPr>
        <w:t>以</w:t>
      </w:r>
      <w:r>
        <w:rPr>
          <w:rFonts w:ascii="楷体_GB2312" w:eastAsia="楷体_GB2312" w:hAnsi="楷体_GB2312" w:cs="楷体_GB2312"/>
          <w:sz w:val="24"/>
          <w:lang w:bidi="ar"/>
        </w:rPr>
        <w:t>“</w:t>
      </w:r>
      <w:r>
        <w:rPr>
          <w:rFonts w:ascii="楷体_GB2312" w:eastAsia="楷体_GB2312" w:hAnsi="楷体_GB2312" w:cs="楷体_GB2312"/>
          <w:sz w:val="24"/>
          <w:lang w:bidi="ar"/>
        </w:rPr>
        <w:t>金融</w:t>
      </w:r>
      <w:r>
        <w:rPr>
          <w:rFonts w:ascii="楷体_GB2312" w:eastAsia="楷体_GB2312" w:hAnsi="楷体_GB2312" w:cs="楷体_GB2312"/>
          <w:sz w:val="24"/>
          <w:lang w:bidi="ar"/>
        </w:rPr>
        <w:t>+</w:t>
      </w:r>
      <w:r>
        <w:rPr>
          <w:rFonts w:ascii="楷体_GB2312" w:eastAsia="楷体_GB2312" w:hAnsi="楷体_GB2312" w:cs="楷体_GB2312"/>
          <w:sz w:val="24"/>
          <w:lang w:bidi="ar"/>
        </w:rPr>
        <w:t>司法</w:t>
      </w:r>
      <w:r>
        <w:rPr>
          <w:rFonts w:ascii="楷体_GB2312" w:eastAsia="楷体_GB2312" w:hAnsi="楷体_GB2312" w:cs="楷体_GB2312"/>
          <w:sz w:val="24"/>
          <w:lang w:bidi="ar"/>
        </w:rPr>
        <w:t>”</w:t>
      </w:r>
      <w:r>
        <w:rPr>
          <w:rFonts w:ascii="楷体_GB2312" w:eastAsia="楷体_GB2312" w:hAnsi="楷体_GB2312" w:cs="楷体_GB2312"/>
          <w:sz w:val="24"/>
          <w:lang w:bidi="ar"/>
        </w:rPr>
        <w:t>协同创新审理模式改革实践为视角</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sz w:val="24"/>
          <w:lang w:bidi="ar"/>
        </w:rPr>
        <w:t>福建省厦门市中级人民法院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王成全</w:t>
      </w:r>
      <w:r>
        <w:rPr>
          <w:rFonts w:ascii="楷体_GB2312" w:eastAsia="楷体_GB2312" w:hAnsi="楷体_GB2312" w:cs="楷体_GB2312"/>
          <w:sz w:val="24"/>
          <w:lang w:bidi="ar"/>
        </w:rPr>
        <w:t xml:space="preserve">  </w:t>
      </w:r>
      <w:r>
        <w:rPr>
          <w:rFonts w:ascii="楷体_GB2312" w:eastAsia="楷体_GB2312" w:hAnsi="楷体_GB2312" w:cs="楷体_GB2312"/>
          <w:sz w:val="24"/>
          <w:lang w:bidi="ar"/>
        </w:rPr>
        <w:t>郭福全</w:t>
      </w:r>
      <w:r>
        <w:rPr>
          <w:rFonts w:ascii="楷体_GB2312" w:eastAsia="楷体_GB2312" w:hAnsi="楷体_GB2312" w:cs="楷体_GB2312"/>
          <w:sz w:val="24"/>
          <w:lang w:bidi="ar"/>
        </w:rPr>
        <w:t xml:space="preserve">  </w:t>
      </w:r>
      <w:r>
        <w:rPr>
          <w:rFonts w:ascii="楷体_GB2312" w:eastAsia="楷体_GB2312" w:hAnsi="楷体_GB2312" w:cs="楷体_GB2312"/>
          <w:sz w:val="24"/>
          <w:lang w:bidi="ar"/>
        </w:rPr>
        <w:t>王丽菊</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“智管模式”：基层法院审判风险防控新路径——以基层法院审管办职能定位为中心视角</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福建省闽侯县人民法院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朱玲</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江彬</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丁秋云</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理念重塑、权责重整、模式重构：院庭长监督管理“四类案件”对策探究——以</w:t>
      </w:r>
      <w:r>
        <w:rPr>
          <w:rFonts w:ascii="楷体_GB2312" w:eastAsia="楷体_GB2312" w:hAnsi="楷体_GB2312" w:cs="楷体_GB2312" w:hint="eastAsia"/>
          <w:sz w:val="24"/>
          <w:lang w:bidi="ar"/>
        </w:rPr>
        <w:t>S</w:t>
      </w:r>
      <w:r>
        <w:rPr>
          <w:rFonts w:ascii="楷体_GB2312" w:eastAsia="楷体_GB2312" w:hAnsi="楷体_GB2312" w:cs="楷体_GB2312" w:hint="eastAsia"/>
          <w:sz w:val="24"/>
          <w:lang w:bidi="ar"/>
        </w:rPr>
        <w:t>法院综合配套改革实践为样本</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福建省厦门市思明区人民法院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刘新平</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赵国军</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论审判公共法律服务体系建构——以法院诉讼服务中心功能续造为中心视角</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福建省泉州市中级人民法院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陈琳</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聘用制审判辅助人员离职从业限制制度构建——以</w:t>
      </w:r>
      <w:r>
        <w:rPr>
          <w:rFonts w:ascii="楷体_GB2312" w:eastAsia="楷体_GB2312" w:hAnsi="楷体_GB2312" w:cs="楷体_GB2312" w:hint="eastAsia"/>
          <w:sz w:val="24"/>
          <w:lang w:bidi="ar"/>
        </w:rPr>
        <w:t>F</w:t>
      </w:r>
      <w:r>
        <w:rPr>
          <w:rFonts w:ascii="楷体_GB2312" w:eastAsia="楷体_GB2312" w:hAnsi="楷体_GB2312" w:cs="楷体_GB2312" w:hint="eastAsia"/>
          <w:sz w:val="24"/>
          <w:lang w:bidi="ar"/>
        </w:rPr>
        <w:t>市</w:t>
      </w:r>
      <w:r>
        <w:rPr>
          <w:rFonts w:ascii="楷体_GB2312" w:eastAsia="楷体_GB2312" w:hAnsi="楷体_GB2312" w:cs="楷体_GB2312" w:hint="eastAsia"/>
          <w:sz w:val="24"/>
          <w:lang w:bidi="ar"/>
        </w:rPr>
        <w:t>M</w:t>
      </w:r>
      <w:r>
        <w:rPr>
          <w:rFonts w:ascii="楷体_GB2312" w:eastAsia="楷体_GB2312" w:hAnsi="楷体_GB2312" w:cs="楷体_GB2312" w:hint="eastAsia"/>
          <w:sz w:val="24"/>
          <w:lang w:bidi="ar"/>
        </w:rPr>
        <w:t>县法院近十年数据为样本</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福建省闽侯县人民法院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林美雅</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陈菁菁</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陈彬</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“初任法官一般到基层人民法院任职”的法律意涵及制度实现——《法官法》第十七条第一句评析</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福建省厦门市思明区人民法院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郭泽喆</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全生命周期视野下法院卷宗单轨制发展路径探析——以</w:t>
      </w:r>
      <w:r>
        <w:rPr>
          <w:rFonts w:ascii="楷体_GB2312" w:eastAsia="楷体_GB2312" w:hAnsi="楷体_GB2312" w:cs="楷体_GB2312" w:hint="eastAsia"/>
          <w:sz w:val="24"/>
          <w:lang w:bidi="ar"/>
        </w:rPr>
        <w:t>PDCA</w:t>
      </w:r>
      <w:r>
        <w:rPr>
          <w:rFonts w:ascii="楷体_GB2312" w:eastAsia="楷体_GB2312" w:hAnsi="楷体_GB2312" w:cs="楷体_GB2312" w:hint="eastAsia"/>
          <w:sz w:val="24"/>
          <w:lang w:bidi="ar"/>
        </w:rPr>
        <w:t>模型为基础的</w:t>
      </w:r>
      <w:r>
        <w:rPr>
          <w:rFonts w:ascii="楷体_GB2312" w:eastAsia="楷体_GB2312" w:hAnsi="楷体_GB2312" w:cs="楷体_GB2312" w:hint="eastAsia"/>
          <w:sz w:val="24"/>
          <w:lang w:bidi="ar"/>
        </w:rPr>
        <w:lastRenderedPageBreak/>
        <w:t>电子卷宗闭环管理模式构建</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福建省德化县人民法院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陈公照</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福建省晋江市人民法院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王燕军</w:t>
      </w:r>
    </w:p>
    <w:p w:rsidR="002E67B1" w:rsidRDefault="009C088F">
      <w:pPr>
        <w:rPr>
          <w:rFonts w:ascii="楷体_GB2312" w:eastAsia="楷体_GB2312" w:hAnsi="楷体_GB2312" w:cs="楷体_GB2312"/>
          <w:sz w:val="24"/>
          <w:lang w:bidi="ar"/>
        </w:rPr>
      </w:pPr>
      <w:r>
        <w:rPr>
          <w:rFonts w:ascii="楷体_GB2312" w:eastAsia="楷体_GB2312" w:hAnsi="楷体_GB2312" w:cs="楷体_GB2312"/>
          <w:sz w:val="24"/>
          <w:lang w:bidi="ar"/>
        </w:rPr>
        <w:t>从</w:t>
      </w:r>
      <w:r>
        <w:rPr>
          <w:rFonts w:ascii="楷体_GB2312" w:eastAsia="楷体_GB2312" w:hAnsi="楷体_GB2312" w:cs="楷体_GB2312"/>
          <w:sz w:val="24"/>
          <w:lang w:bidi="ar"/>
        </w:rPr>
        <w:t>“</w:t>
      </w:r>
      <w:r>
        <w:rPr>
          <w:rFonts w:ascii="楷体_GB2312" w:eastAsia="楷体_GB2312" w:hAnsi="楷体_GB2312" w:cs="楷体_GB2312"/>
          <w:sz w:val="24"/>
          <w:lang w:bidi="ar"/>
        </w:rPr>
        <w:t>附属事务</w:t>
      </w:r>
      <w:r>
        <w:rPr>
          <w:rFonts w:ascii="楷体_GB2312" w:eastAsia="楷体_GB2312" w:hAnsi="楷体_GB2312" w:cs="楷体_GB2312"/>
          <w:sz w:val="24"/>
          <w:lang w:bidi="ar"/>
        </w:rPr>
        <w:t>”</w:t>
      </w:r>
      <w:r>
        <w:rPr>
          <w:rFonts w:ascii="楷体_GB2312" w:eastAsia="楷体_GB2312" w:hAnsi="楷体_GB2312" w:cs="楷体_GB2312"/>
          <w:sz w:val="24"/>
          <w:lang w:bidi="ar"/>
        </w:rPr>
        <w:t>到</w:t>
      </w:r>
      <w:r>
        <w:rPr>
          <w:rFonts w:ascii="楷体_GB2312" w:eastAsia="楷体_GB2312" w:hAnsi="楷体_GB2312" w:cs="楷体_GB2312"/>
          <w:sz w:val="24"/>
          <w:lang w:bidi="ar"/>
        </w:rPr>
        <w:t>“</w:t>
      </w:r>
      <w:r>
        <w:rPr>
          <w:rFonts w:ascii="楷体_GB2312" w:eastAsia="楷体_GB2312" w:hAnsi="楷体_GB2312" w:cs="楷体_GB2312"/>
          <w:sz w:val="24"/>
          <w:lang w:bidi="ar"/>
        </w:rPr>
        <w:t>独立分流</w:t>
      </w:r>
      <w:r>
        <w:rPr>
          <w:rFonts w:ascii="楷体_GB2312" w:eastAsia="楷体_GB2312" w:hAnsi="楷体_GB2312" w:cs="楷体_GB2312"/>
          <w:sz w:val="24"/>
          <w:lang w:bidi="ar"/>
        </w:rPr>
        <w:t>”</w:t>
      </w:r>
      <w:r>
        <w:rPr>
          <w:rFonts w:ascii="楷体_GB2312" w:eastAsia="楷体_GB2312" w:hAnsi="楷体_GB2312" w:cs="楷体_GB2312"/>
          <w:sz w:val="24"/>
          <w:lang w:bidi="ar"/>
        </w:rPr>
        <w:t>：诉讼经济视域下行政预审程序之构架与程式</w:t>
      </w:r>
      <w:r>
        <w:rPr>
          <w:rFonts w:ascii="楷体_GB2312" w:eastAsia="楷体_GB2312" w:hAnsi="楷体_GB2312" w:cs="楷体_GB2312"/>
          <w:sz w:val="24"/>
          <w:lang w:bidi="ar"/>
        </w:rPr>
        <w:t>——</w:t>
      </w:r>
      <w:r>
        <w:rPr>
          <w:rFonts w:ascii="楷体_GB2312" w:eastAsia="楷体_GB2312" w:hAnsi="楷体_GB2312" w:cs="楷体_GB2312"/>
          <w:sz w:val="24"/>
          <w:lang w:bidi="ar"/>
        </w:rPr>
        <w:t>以</w:t>
      </w:r>
      <w:r>
        <w:rPr>
          <w:rFonts w:ascii="楷体_GB2312" w:eastAsia="楷体_GB2312" w:hAnsi="楷体_GB2312" w:cs="楷体_GB2312"/>
          <w:sz w:val="24"/>
          <w:lang w:bidi="ar"/>
        </w:rPr>
        <w:t>“</w:t>
      </w:r>
      <w:r>
        <w:rPr>
          <w:rFonts w:ascii="楷体_GB2312" w:eastAsia="楷体_GB2312" w:hAnsi="楷体_GB2312" w:cs="楷体_GB2312"/>
          <w:sz w:val="24"/>
          <w:lang w:bidi="ar"/>
        </w:rPr>
        <w:t>三维功能定位</w:t>
      </w:r>
      <w:r>
        <w:rPr>
          <w:rFonts w:ascii="楷体_GB2312" w:eastAsia="楷体_GB2312" w:hAnsi="楷体_GB2312" w:cs="楷体_GB2312"/>
          <w:sz w:val="24"/>
          <w:lang w:bidi="ar"/>
        </w:rPr>
        <w:t>”</w:t>
      </w:r>
      <w:r>
        <w:rPr>
          <w:rFonts w:ascii="楷体_GB2312" w:eastAsia="楷体_GB2312" w:hAnsi="楷体_GB2312" w:cs="楷体_GB2312"/>
          <w:sz w:val="24"/>
          <w:lang w:bidi="ar"/>
        </w:rPr>
        <w:t>为进路</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sz w:val="24"/>
          <w:lang w:bidi="ar"/>
        </w:rPr>
        <w:t>福建省厦门市思明区人民法院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王叶萍</w:t>
      </w:r>
      <w:r>
        <w:rPr>
          <w:rFonts w:ascii="楷体_GB2312" w:eastAsia="楷体_GB2312" w:hAnsi="楷体_GB2312" w:cs="楷体_GB2312"/>
          <w:sz w:val="24"/>
          <w:lang w:bidi="ar"/>
        </w:rPr>
        <w:t xml:space="preserve">  </w:t>
      </w:r>
      <w:r>
        <w:rPr>
          <w:rFonts w:ascii="楷体_GB2312" w:eastAsia="楷体_GB2312" w:hAnsi="楷体_GB2312" w:cs="楷体_GB2312"/>
          <w:sz w:val="24"/>
          <w:lang w:bidi="ar"/>
        </w:rPr>
        <w:t>王晨安</w:t>
      </w:r>
    </w:p>
    <w:p w:rsidR="002E67B1" w:rsidRDefault="009C088F">
      <w:pPr>
        <w:rPr>
          <w:rFonts w:ascii="楷体_GB2312" w:eastAsia="楷体_GB2312" w:hAnsi="楷体_GB2312" w:cs="楷体_GB2312"/>
          <w:sz w:val="24"/>
          <w:lang w:bidi="ar"/>
        </w:rPr>
      </w:pPr>
      <w:r>
        <w:rPr>
          <w:rFonts w:ascii="楷体_GB2312" w:eastAsia="楷体_GB2312" w:hAnsi="楷体_GB2312" w:cs="楷体_GB2312"/>
          <w:sz w:val="24"/>
          <w:lang w:bidi="ar"/>
        </w:rPr>
        <w:t>飞跃上诉：民事诉讼审级改革新视野</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sz w:val="24"/>
          <w:lang w:bidi="ar"/>
        </w:rPr>
        <w:t>福建省厦门市中级人民法院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王成全</w:t>
      </w:r>
      <w:r>
        <w:rPr>
          <w:rFonts w:ascii="楷体_GB2312" w:eastAsia="楷体_GB2312" w:hAnsi="楷体_GB2312" w:cs="楷体_GB2312"/>
          <w:sz w:val="24"/>
          <w:lang w:bidi="ar"/>
        </w:rPr>
        <w:t xml:space="preserve">  </w:t>
      </w:r>
      <w:r>
        <w:rPr>
          <w:rFonts w:ascii="楷体_GB2312" w:eastAsia="楷体_GB2312" w:hAnsi="楷体_GB2312" w:cs="楷体_GB2312"/>
          <w:sz w:val="24"/>
          <w:lang w:bidi="ar"/>
        </w:rPr>
        <w:t>林常红</w:t>
      </w:r>
      <w:r>
        <w:rPr>
          <w:rFonts w:ascii="楷体_GB2312" w:eastAsia="楷体_GB2312" w:hAnsi="楷体_GB2312" w:cs="楷体_GB2312"/>
          <w:sz w:val="24"/>
          <w:lang w:bidi="ar"/>
        </w:rPr>
        <w:t xml:space="preserve">  </w:t>
      </w:r>
      <w:r>
        <w:rPr>
          <w:rFonts w:ascii="楷体_GB2312" w:eastAsia="楷体_GB2312" w:hAnsi="楷体_GB2312" w:cs="楷体_GB2312"/>
          <w:sz w:val="24"/>
          <w:lang w:bidi="ar"/>
        </w:rPr>
        <w:t>商梦莹</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第三人撤销之诉与执行分配方案异议之诉合并审理进路——以虚假债权纠纷为例</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福建省晋江市人民法院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王燕军</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福建省德化县人</w:t>
      </w:r>
      <w:r>
        <w:rPr>
          <w:rFonts w:ascii="楷体_GB2312" w:eastAsia="楷体_GB2312" w:hAnsi="楷体_GB2312" w:cs="楷体_GB2312" w:hint="eastAsia"/>
          <w:sz w:val="24"/>
          <w:lang w:bidi="ar"/>
        </w:rPr>
        <w:t>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陈公照</w:t>
      </w:r>
    </w:p>
    <w:p w:rsidR="002E67B1" w:rsidRDefault="009C088F">
      <w:pPr>
        <w:rPr>
          <w:rFonts w:ascii="楷体_GB2312" w:eastAsia="楷体_GB2312" w:hAnsi="楷体_GB2312" w:cs="楷体_GB2312"/>
          <w:sz w:val="24"/>
          <w:lang w:bidi="ar"/>
        </w:rPr>
      </w:pPr>
      <w:r>
        <w:rPr>
          <w:rFonts w:ascii="楷体_GB2312" w:eastAsia="楷体_GB2312" w:hAnsi="楷体_GB2312" w:cs="楷体_GB2312"/>
          <w:sz w:val="24"/>
          <w:lang w:bidi="ar"/>
        </w:rPr>
        <w:t>院长办案机制的运行偏差与理性回归</w:t>
      </w:r>
      <w:r>
        <w:rPr>
          <w:rFonts w:ascii="楷体_GB2312" w:eastAsia="楷体_GB2312" w:hAnsi="楷体_GB2312" w:cs="楷体_GB2312"/>
          <w:sz w:val="24"/>
          <w:lang w:bidi="ar"/>
        </w:rPr>
        <w:t>——</w:t>
      </w:r>
      <w:r>
        <w:rPr>
          <w:rFonts w:ascii="楷体_GB2312" w:eastAsia="楷体_GB2312" w:hAnsi="楷体_GB2312" w:cs="楷体_GB2312"/>
          <w:sz w:val="24"/>
          <w:lang w:bidi="ar"/>
        </w:rPr>
        <w:t>从</w:t>
      </w:r>
      <w:r>
        <w:rPr>
          <w:rFonts w:ascii="楷体_GB2312" w:eastAsia="楷体_GB2312" w:hAnsi="楷体_GB2312" w:cs="楷体_GB2312"/>
          <w:sz w:val="24"/>
          <w:lang w:bidi="ar"/>
        </w:rPr>
        <w:t>“</w:t>
      </w:r>
      <w:r>
        <w:rPr>
          <w:rFonts w:ascii="楷体_GB2312" w:eastAsia="楷体_GB2312" w:hAnsi="楷体_GB2312" w:cs="楷体_GB2312"/>
          <w:sz w:val="24"/>
          <w:lang w:bidi="ar"/>
        </w:rPr>
        <w:t>审判事务者</w:t>
      </w:r>
      <w:r>
        <w:rPr>
          <w:rFonts w:ascii="楷体_GB2312" w:eastAsia="楷体_GB2312" w:hAnsi="楷体_GB2312" w:cs="楷体_GB2312"/>
          <w:sz w:val="24"/>
          <w:lang w:bidi="ar"/>
        </w:rPr>
        <w:t>”</w:t>
      </w:r>
      <w:r>
        <w:rPr>
          <w:rFonts w:ascii="楷体_GB2312" w:eastAsia="楷体_GB2312" w:hAnsi="楷体_GB2312" w:cs="楷体_GB2312"/>
          <w:sz w:val="24"/>
          <w:lang w:bidi="ar"/>
        </w:rPr>
        <w:t>到</w:t>
      </w:r>
      <w:r>
        <w:rPr>
          <w:rFonts w:ascii="楷体_GB2312" w:eastAsia="楷体_GB2312" w:hAnsi="楷体_GB2312" w:cs="楷体_GB2312"/>
          <w:sz w:val="24"/>
          <w:lang w:bidi="ar"/>
        </w:rPr>
        <w:t>“</w:t>
      </w:r>
      <w:r>
        <w:rPr>
          <w:rFonts w:ascii="楷体_GB2312" w:eastAsia="楷体_GB2312" w:hAnsi="楷体_GB2312" w:cs="楷体_GB2312"/>
          <w:sz w:val="24"/>
          <w:lang w:bidi="ar"/>
        </w:rPr>
        <w:t>审判决断者</w:t>
      </w:r>
      <w:r>
        <w:rPr>
          <w:rFonts w:ascii="楷体_GB2312" w:eastAsia="楷体_GB2312" w:hAnsi="楷体_GB2312" w:cs="楷体_GB2312"/>
          <w:sz w:val="24"/>
          <w:lang w:bidi="ar"/>
        </w:rPr>
        <w:t>”</w:t>
      </w:r>
      <w:r>
        <w:rPr>
          <w:rFonts w:ascii="楷体_GB2312" w:eastAsia="楷体_GB2312" w:hAnsi="楷体_GB2312" w:cs="楷体_GB2312"/>
          <w:sz w:val="24"/>
          <w:lang w:bidi="ar"/>
        </w:rPr>
        <w:t>之角色变革</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sz w:val="24"/>
          <w:lang w:bidi="ar"/>
        </w:rPr>
        <w:t>江西省吉安市青原区人民法院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胡正民</w:t>
      </w:r>
      <w:r>
        <w:rPr>
          <w:rFonts w:ascii="楷体_GB2312" w:eastAsia="楷体_GB2312" w:hAnsi="楷体_GB2312" w:cs="楷体_GB2312"/>
          <w:sz w:val="24"/>
          <w:lang w:bidi="ar"/>
        </w:rPr>
        <w:t xml:space="preserve">  </w:t>
      </w:r>
      <w:r>
        <w:rPr>
          <w:rFonts w:ascii="楷体_GB2312" w:eastAsia="楷体_GB2312" w:hAnsi="楷体_GB2312" w:cs="楷体_GB2312"/>
          <w:sz w:val="24"/>
          <w:lang w:bidi="ar"/>
        </w:rPr>
        <w:t>张时兵</w:t>
      </w:r>
    </w:p>
    <w:p w:rsidR="002E67B1" w:rsidRDefault="009C088F">
      <w:pPr>
        <w:rPr>
          <w:rFonts w:ascii="楷体_GB2312" w:eastAsia="楷体_GB2312" w:hAnsi="楷体_GB2312" w:cs="楷体_GB2312"/>
          <w:sz w:val="24"/>
          <w:lang w:bidi="ar"/>
        </w:rPr>
      </w:pPr>
      <w:r>
        <w:rPr>
          <w:rFonts w:ascii="楷体_GB2312" w:eastAsia="楷体_GB2312" w:hAnsi="楷体_GB2312" w:cs="楷体_GB2312"/>
          <w:sz w:val="24"/>
          <w:lang w:bidi="ar"/>
        </w:rPr>
        <w:t>司法决策技术与案件社会结构之间：基层民事法官的多元角色</w:t>
      </w:r>
      <w:r>
        <w:rPr>
          <w:rFonts w:ascii="楷体_GB2312" w:eastAsia="楷体_GB2312" w:hAnsi="楷体_GB2312" w:cs="楷体_GB2312"/>
          <w:sz w:val="24"/>
          <w:lang w:bidi="ar"/>
        </w:rPr>
        <w:t>——</w:t>
      </w:r>
      <w:r>
        <w:rPr>
          <w:rFonts w:ascii="楷体_GB2312" w:eastAsia="楷体_GB2312" w:hAnsi="楷体_GB2312" w:cs="楷体_GB2312"/>
          <w:sz w:val="24"/>
          <w:lang w:bidi="ar"/>
        </w:rPr>
        <w:t>基于一起人身损害赔偿案件的法社会学分析</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sz w:val="24"/>
          <w:lang w:bidi="ar"/>
        </w:rPr>
        <w:t>江西省永修县人民法院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胡成伟</w:t>
      </w:r>
    </w:p>
    <w:p w:rsidR="002E67B1" w:rsidRDefault="009C088F">
      <w:pPr>
        <w:rPr>
          <w:rFonts w:ascii="楷体_GB2312" w:eastAsia="楷体_GB2312" w:hAnsi="楷体_GB2312" w:cs="楷体_GB2312"/>
          <w:sz w:val="24"/>
          <w:lang w:bidi="ar"/>
        </w:rPr>
      </w:pPr>
      <w:r>
        <w:rPr>
          <w:rFonts w:ascii="楷体_GB2312" w:eastAsia="楷体_GB2312" w:hAnsi="楷体_GB2312" w:cs="楷体_GB2312"/>
          <w:sz w:val="24"/>
          <w:lang w:bidi="ar"/>
        </w:rPr>
        <w:t>监察调查中技术调查证据审查规则之构建</w:t>
      </w:r>
      <w:r>
        <w:rPr>
          <w:rFonts w:ascii="楷体_GB2312" w:eastAsia="楷体_GB2312" w:hAnsi="楷体_GB2312" w:cs="楷体_GB2312"/>
          <w:sz w:val="24"/>
          <w:lang w:bidi="ar"/>
        </w:rPr>
        <w:t>——</w:t>
      </w:r>
      <w:r>
        <w:rPr>
          <w:rFonts w:ascii="楷体_GB2312" w:eastAsia="楷体_GB2312" w:hAnsi="楷体_GB2312" w:cs="楷体_GB2312"/>
          <w:sz w:val="24"/>
          <w:lang w:bidi="ar"/>
        </w:rPr>
        <w:t>以</w:t>
      </w:r>
      <w:r>
        <w:rPr>
          <w:rFonts w:ascii="楷体_GB2312" w:eastAsia="楷体_GB2312" w:hAnsi="楷体_GB2312" w:cs="楷体_GB2312"/>
          <w:sz w:val="24"/>
          <w:lang w:bidi="ar"/>
        </w:rPr>
        <w:t>“</w:t>
      </w:r>
      <w:r>
        <w:rPr>
          <w:rFonts w:ascii="楷体_GB2312" w:eastAsia="楷体_GB2312" w:hAnsi="楷体_GB2312" w:cs="楷体_GB2312"/>
          <w:sz w:val="24"/>
          <w:lang w:bidi="ar"/>
        </w:rPr>
        <w:t>通信监控</w:t>
      </w:r>
      <w:r>
        <w:rPr>
          <w:rFonts w:ascii="楷体_GB2312" w:eastAsia="楷体_GB2312" w:hAnsi="楷体_GB2312" w:cs="楷体_GB2312"/>
          <w:sz w:val="24"/>
          <w:lang w:bidi="ar"/>
        </w:rPr>
        <w:t>”</w:t>
      </w:r>
      <w:r>
        <w:rPr>
          <w:rFonts w:ascii="楷体_GB2312" w:eastAsia="楷体_GB2312" w:hAnsi="楷体_GB2312" w:cs="楷体_GB2312"/>
          <w:sz w:val="24"/>
          <w:lang w:bidi="ar"/>
        </w:rPr>
        <w:t>为主要分析对象</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sz w:val="24"/>
          <w:lang w:bidi="ar"/>
        </w:rPr>
        <w:t>江西省景德镇市中级人民法院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洪平权</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sz w:val="24"/>
          <w:lang w:bidi="ar"/>
        </w:rPr>
        <w:t>江西省九江市柴桑区人民法院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刘校宇</w:t>
      </w:r>
    </w:p>
    <w:p w:rsidR="002E67B1" w:rsidRDefault="009C088F">
      <w:pPr>
        <w:rPr>
          <w:rFonts w:ascii="楷体_GB2312" w:eastAsia="楷体_GB2312" w:hAnsi="楷体_GB2312" w:cs="楷体_GB2312"/>
          <w:sz w:val="24"/>
          <w:lang w:bidi="ar"/>
        </w:rPr>
      </w:pPr>
      <w:r>
        <w:rPr>
          <w:rFonts w:ascii="楷体_GB2312" w:eastAsia="楷体_GB2312" w:hAnsi="楷体_GB2312" w:cs="楷体_GB2312"/>
          <w:sz w:val="24"/>
          <w:lang w:bidi="ar"/>
        </w:rPr>
        <w:lastRenderedPageBreak/>
        <w:t>案件繁简分流智能化改造</w:t>
      </w:r>
      <w:r>
        <w:rPr>
          <w:rFonts w:ascii="楷体_GB2312" w:eastAsia="楷体_GB2312" w:hAnsi="楷体_GB2312" w:cs="楷体_GB2312"/>
          <w:sz w:val="24"/>
          <w:lang w:bidi="ar"/>
        </w:rPr>
        <w:t>——</w:t>
      </w:r>
      <w:r>
        <w:rPr>
          <w:rFonts w:ascii="楷体_GB2312" w:eastAsia="楷体_GB2312" w:hAnsi="楷体_GB2312" w:cs="楷体_GB2312"/>
          <w:sz w:val="24"/>
          <w:lang w:bidi="ar"/>
        </w:rPr>
        <w:t>基于</w:t>
      </w:r>
      <w:r>
        <w:rPr>
          <w:rFonts w:ascii="楷体_GB2312" w:eastAsia="楷体_GB2312" w:hAnsi="楷体_GB2312" w:cs="楷体_GB2312"/>
          <w:sz w:val="24"/>
          <w:lang w:bidi="ar"/>
        </w:rPr>
        <w:t>G</w:t>
      </w:r>
      <w:r>
        <w:rPr>
          <w:rFonts w:ascii="楷体_GB2312" w:eastAsia="楷体_GB2312" w:hAnsi="楷体_GB2312" w:cs="楷体_GB2312"/>
          <w:sz w:val="24"/>
          <w:lang w:bidi="ar"/>
        </w:rPr>
        <w:t>市</w:t>
      </w:r>
      <w:r>
        <w:rPr>
          <w:rFonts w:ascii="楷体_GB2312" w:eastAsia="楷体_GB2312" w:hAnsi="楷体_GB2312" w:cs="楷体_GB2312"/>
          <w:sz w:val="24"/>
          <w:lang w:bidi="ar"/>
        </w:rPr>
        <w:t>19</w:t>
      </w:r>
      <w:r>
        <w:rPr>
          <w:rFonts w:ascii="楷体_GB2312" w:eastAsia="楷体_GB2312" w:hAnsi="楷体_GB2312" w:cs="楷体_GB2312"/>
          <w:sz w:val="24"/>
          <w:lang w:bidi="ar"/>
        </w:rPr>
        <w:t>个基层法院之实践考察</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sz w:val="24"/>
          <w:lang w:bidi="ar"/>
        </w:rPr>
        <w:t>江西省赣州市中级人民法院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刘新生</w:t>
      </w:r>
      <w:r>
        <w:rPr>
          <w:rFonts w:ascii="楷体_GB2312" w:eastAsia="楷体_GB2312" w:hAnsi="楷体_GB2312" w:cs="楷体_GB2312"/>
          <w:sz w:val="24"/>
          <w:lang w:bidi="ar"/>
        </w:rPr>
        <w:t xml:space="preserve">  </w:t>
      </w:r>
      <w:r>
        <w:rPr>
          <w:rFonts w:ascii="楷体_GB2312" w:eastAsia="楷体_GB2312" w:hAnsi="楷体_GB2312" w:cs="楷体_GB2312"/>
          <w:sz w:val="24"/>
          <w:lang w:bidi="ar"/>
        </w:rPr>
        <w:t>郭敏</w:t>
      </w:r>
    </w:p>
    <w:p w:rsidR="002E67B1" w:rsidRDefault="009C088F">
      <w:pPr>
        <w:rPr>
          <w:rFonts w:ascii="楷体_GB2312" w:eastAsia="楷体_GB2312" w:hAnsi="楷体_GB2312" w:cs="楷体_GB2312"/>
          <w:sz w:val="24"/>
          <w:lang w:bidi="ar"/>
        </w:rPr>
      </w:pPr>
      <w:r>
        <w:rPr>
          <w:rFonts w:ascii="楷体_GB2312" w:eastAsia="楷体_GB2312" w:hAnsi="楷体_GB2312" w:cs="楷体_GB2312"/>
          <w:sz w:val="24"/>
          <w:lang w:bidi="ar"/>
        </w:rPr>
        <w:t>法官荣誉制度的完善</w:t>
      </w:r>
      <w:r>
        <w:rPr>
          <w:rFonts w:ascii="楷体_GB2312" w:eastAsia="楷体_GB2312" w:hAnsi="楷体_GB2312" w:cs="楷体_GB2312"/>
          <w:sz w:val="24"/>
          <w:lang w:bidi="ar"/>
        </w:rPr>
        <w:t>——</w:t>
      </w:r>
      <w:r>
        <w:rPr>
          <w:rFonts w:ascii="楷体_GB2312" w:eastAsia="楷体_GB2312" w:hAnsi="楷体_GB2312" w:cs="楷体_GB2312"/>
          <w:sz w:val="24"/>
          <w:lang w:bidi="ar"/>
        </w:rPr>
        <w:t>以法官荣誉仪式的实践为视角</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sz w:val="24"/>
          <w:lang w:bidi="ar"/>
        </w:rPr>
        <w:t>江西省信丰县人民法院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杨韵</w:t>
      </w:r>
      <w:r>
        <w:rPr>
          <w:rFonts w:ascii="楷体_GB2312" w:eastAsia="楷体_GB2312" w:hAnsi="楷体_GB2312" w:cs="楷体_GB2312"/>
          <w:sz w:val="24"/>
          <w:lang w:bidi="ar"/>
        </w:rPr>
        <w:t xml:space="preserve">  </w:t>
      </w:r>
      <w:r>
        <w:rPr>
          <w:rFonts w:ascii="楷体_GB2312" w:eastAsia="楷体_GB2312" w:hAnsi="楷体_GB2312" w:cs="楷体_GB2312"/>
          <w:sz w:val="24"/>
          <w:lang w:bidi="ar"/>
        </w:rPr>
        <w:t>刘远芳</w:t>
      </w:r>
    </w:p>
    <w:p w:rsidR="002E67B1" w:rsidRDefault="009C088F">
      <w:pPr>
        <w:rPr>
          <w:rFonts w:ascii="楷体_GB2312" w:eastAsia="楷体_GB2312" w:hAnsi="楷体_GB2312" w:cs="楷体_GB2312"/>
          <w:sz w:val="24"/>
          <w:lang w:bidi="ar"/>
        </w:rPr>
      </w:pPr>
      <w:r>
        <w:rPr>
          <w:rFonts w:ascii="楷体_GB2312" w:eastAsia="楷体_GB2312" w:hAnsi="楷体_GB2312" w:cs="楷体_GB2312"/>
          <w:sz w:val="24"/>
          <w:lang w:bidi="ar"/>
        </w:rPr>
        <w:t>技术调查官的角色错位及矫正</w:t>
      </w:r>
      <w:r>
        <w:rPr>
          <w:rFonts w:ascii="楷体_GB2312" w:eastAsia="楷体_GB2312" w:hAnsi="楷体_GB2312" w:cs="楷体_GB2312"/>
          <w:sz w:val="24"/>
          <w:lang w:bidi="ar"/>
        </w:rPr>
        <w:t>——</w:t>
      </w:r>
      <w:r>
        <w:rPr>
          <w:rFonts w:ascii="楷体_GB2312" w:eastAsia="楷体_GB2312" w:hAnsi="楷体_GB2312" w:cs="楷体_GB2312"/>
          <w:sz w:val="24"/>
          <w:lang w:bidi="ar"/>
        </w:rPr>
        <w:t>以</w:t>
      </w:r>
      <w:r>
        <w:rPr>
          <w:rFonts w:ascii="楷体_GB2312" w:eastAsia="楷体_GB2312" w:hAnsi="楷体_GB2312" w:cs="楷体_GB2312"/>
          <w:sz w:val="24"/>
          <w:lang w:bidi="ar"/>
        </w:rPr>
        <w:t>“</w:t>
      </w:r>
      <w:r>
        <w:rPr>
          <w:rFonts w:ascii="楷体_GB2312" w:eastAsia="楷体_GB2312" w:hAnsi="楷体_GB2312" w:cs="楷体_GB2312"/>
          <w:sz w:val="24"/>
          <w:lang w:bidi="ar"/>
        </w:rPr>
        <w:t>辅助审判</w:t>
      </w:r>
      <w:r>
        <w:rPr>
          <w:rFonts w:ascii="楷体_GB2312" w:eastAsia="楷体_GB2312" w:hAnsi="楷体_GB2312" w:cs="楷体_GB2312"/>
          <w:sz w:val="24"/>
          <w:lang w:bidi="ar"/>
        </w:rPr>
        <w:t>”</w:t>
      </w:r>
      <w:r>
        <w:rPr>
          <w:rFonts w:ascii="楷体_GB2312" w:eastAsia="楷体_GB2312" w:hAnsi="楷体_GB2312" w:cs="楷体_GB2312"/>
          <w:sz w:val="24"/>
          <w:lang w:bidi="ar"/>
        </w:rPr>
        <w:t>和</w:t>
      </w:r>
      <w:r>
        <w:rPr>
          <w:rFonts w:ascii="楷体_GB2312" w:eastAsia="楷体_GB2312" w:hAnsi="楷体_GB2312" w:cs="楷体_GB2312"/>
          <w:sz w:val="24"/>
          <w:lang w:bidi="ar"/>
        </w:rPr>
        <w:t>“</w:t>
      </w:r>
      <w:r>
        <w:rPr>
          <w:rFonts w:ascii="楷体_GB2312" w:eastAsia="楷体_GB2312" w:hAnsi="楷体_GB2312" w:cs="楷体_GB2312"/>
          <w:sz w:val="24"/>
          <w:lang w:bidi="ar"/>
        </w:rPr>
        <w:t>隐性审判</w:t>
      </w:r>
      <w:r>
        <w:rPr>
          <w:rFonts w:ascii="楷体_GB2312" w:eastAsia="楷体_GB2312" w:hAnsi="楷体_GB2312" w:cs="楷体_GB2312"/>
          <w:sz w:val="24"/>
          <w:lang w:bidi="ar"/>
        </w:rPr>
        <w:t>”</w:t>
      </w:r>
      <w:r>
        <w:rPr>
          <w:rFonts w:ascii="楷体_GB2312" w:eastAsia="楷体_GB2312" w:hAnsi="楷体_GB2312" w:cs="楷体_GB2312"/>
          <w:sz w:val="24"/>
          <w:lang w:bidi="ar"/>
        </w:rPr>
        <w:t>对比分析为视角</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sz w:val="24"/>
          <w:lang w:bidi="ar"/>
        </w:rPr>
        <w:t>江西省萍乡市中级人民法院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陈颖澍</w:t>
      </w:r>
    </w:p>
    <w:p w:rsidR="002E67B1" w:rsidRDefault="009C088F">
      <w:pPr>
        <w:rPr>
          <w:rFonts w:ascii="楷体_GB2312" w:eastAsia="楷体_GB2312" w:hAnsi="楷体_GB2312" w:cs="楷体_GB2312"/>
          <w:sz w:val="24"/>
          <w:lang w:bidi="ar"/>
        </w:rPr>
      </w:pPr>
      <w:r>
        <w:rPr>
          <w:rFonts w:ascii="楷体_GB2312" w:eastAsia="楷体_GB2312" w:hAnsi="楷体_GB2312" w:cs="楷体_GB2312"/>
          <w:sz w:val="24"/>
          <w:lang w:bidi="ar"/>
        </w:rPr>
        <w:t>行政诉讼信访化趋势及其应对分析</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sz w:val="24"/>
          <w:lang w:bidi="ar"/>
        </w:rPr>
        <w:t>江西省赣州市中级人民法院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姜昊昂</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sz w:val="24"/>
          <w:lang w:bidi="ar"/>
        </w:rPr>
        <w:t>北京市海淀区人民法院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赵云</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sz w:val="24"/>
          <w:lang w:bidi="ar"/>
        </w:rPr>
        <w:t>江西省赣州市章贡区人民法院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温清</w:t>
      </w:r>
    </w:p>
    <w:p w:rsidR="002E67B1" w:rsidRDefault="009C088F">
      <w:pPr>
        <w:rPr>
          <w:rFonts w:ascii="楷体_GB2312" w:eastAsia="楷体_GB2312" w:hAnsi="楷体_GB2312" w:cs="楷体_GB2312"/>
          <w:sz w:val="24"/>
          <w:lang w:bidi="ar"/>
        </w:rPr>
      </w:pPr>
      <w:r>
        <w:rPr>
          <w:rFonts w:ascii="楷体_GB2312" w:eastAsia="楷体_GB2312" w:hAnsi="楷体_GB2312" w:cs="楷体_GB2312"/>
          <w:sz w:val="24"/>
          <w:lang w:bidi="ar"/>
        </w:rPr>
        <w:t>行政审判中法院指正机制的检视与修正</w:t>
      </w:r>
      <w:r>
        <w:rPr>
          <w:rFonts w:ascii="楷体_GB2312" w:eastAsia="楷体_GB2312" w:hAnsi="楷体_GB2312" w:cs="楷体_GB2312"/>
          <w:sz w:val="24"/>
          <w:lang w:bidi="ar"/>
        </w:rPr>
        <w:t>——</w:t>
      </w:r>
      <w:r>
        <w:rPr>
          <w:rFonts w:ascii="楷体_GB2312" w:eastAsia="楷体_GB2312" w:hAnsi="楷体_GB2312" w:cs="楷体_GB2312"/>
          <w:sz w:val="24"/>
          <w:lang w:bidi="ar"/>
        </w:rPr>
        <w:t>以狭义行政瑕疵指正为研究视角</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sz w:val="24"/>
          <w:lang w:bidi="ar"/>
        </w:rPr>
        <w:t>山东省青岛市中级人民法院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张杰</w:t>
      </w:r>
    </w:p>
    <w:p w:rsidR="002E67B1" w:rsidRDefault="009C088F">
      <w:pPr>
        <w:rPr>
          <w:rFonts w:ascii="楷体_GB2312" w:eastAsia="楷体_GB2312" w:hAnsi="楷体_GB2312" w:cs="楷体_GB2312"/>
          <w:sz w:val="24"/>
          <w:lang w:bidi="ar"/>
        </w:rPr>
      </w:pPr>
      <w:r>
        <w:rPr>
          <w:rFonts w:ascii="楷体_GB2312" w:eastAsia="楷体_GB2312" w:hAnsi="楷体_GB2312" w:cs="楷体_GB2312"/>
          <w:sz w:val="24"/>
          <w:lang w:bidi="ar"/>
        </w:rPr>
        <w:t>重大转型时期司法风险防控的发展进路</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sz w:val="24"/>
          <w:lang w:bidi="ar"/>
        </w:rPr>
        <w:t>山东省滨州市中级人民法院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赵海永</w:t>
      </w:r>
    </w:p>
    <w:p w:rsidR="002E67B1" w:rsidRDefault="009C088F">
      <w:pPr>
        <w:rPr>
          <w:rFonts w:ascii="楷体_GB2312" w:eastAsia="楷体_GB2312" w:hAnsi="楷体_GB2312" w:cs="楷体_GB2312"/>
          <w:sz w:val="24"/>
          <w:lang w:bidi="ar"/>
        </w:rPr>
      </w:pPr>
      <w:r>
        <w:rPr>
          <w:rFonts w:ascii="楷体_GB2312" w:eastAsia="楷体_GB2312" w:hAnsi="楷体_GB2312" w:cs="楷体_GB2312"/>
          <w:sz w:val="24"/>
          <w:lang w:bidi="ar"/>
        </w:rPr>
        <w:t>量与质的衡平：行政机关负责人有限度出庭机制构建</w:t>
      </w:r>
      <w:r>
        <w:rPr>
          <w:rFonts w:ascii="楷体_GB2312" w:eastAsia="楷体_GB2312" w:hAnsi="楷体_GB2312" w:cs="楷体_GB2312"/>
          <w:sz w:val="24"/>
          <w:lang w:bidi="ar"/>
        </w:rPr>
        <w:t>——</w:t>
      </w:r>
      <w:r>
        <w:rPr>
          <w:rFonts w:ascii="楷体_GB2312" w:eastAsia="楷体_GB2312" w:hAnsi="楷体_GB2312" w:cs="楷体_GB2312"/>
          <w:sz w:val="24"/>
          <w:lang w:bidi="ar"/>
        </w:rPr>
        <w:t>以推进法治政府建设效果为视角</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sz w:val="24"/>
          <w:lang w:bidi="ar"/>
        </w:rPr>
        <w:t>山东省诸城市人民法院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崔兆在</w:t>
      </w:r>
    </w:p>
    <w:p w:rsidR="002E67B1" w:rsidRDefault="009C088F">
      <w:pPr>
        <w:rPr>
          <w:rFonts w:ascii="楷体_GB2312" w:eastAsia="楷体_GB2312" w:hAnsi="楷体_GB2312" w:cs="楷体_GB2312"/>
          <w:sz w:val="24"/>
          <w:lang w:bidi="ar"/>
        </w:rPr>
      </w:pPr>
      <w:r>
        <w:rPr>
          <w:rFonts w:ascii="楷体_GB2312" w:eastAsia="楷体_GB2312" w:hAnsi="楷体_GB2312" w:cs="楷体_GB2312"/>
          <w:sz w:val="24"/>
          <w:lang w:bidi="ar"/>
        </w:rPr>
        <w:t>权力制衡的博弈：行政诉讼管辖规则创制及其结构功能主义价值</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sz w:val="24"/>
          <w:lang w:bidi="ar"/>
        </w:rPr>
        <w:t>山东省济宁市中级人民法院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赵贵龙</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以案定额：基于案件权值法测定员额法官人案配比</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河南省郑州市中级人民法院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李志增</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lastRenderedPageBreak/>
        <w:t>河南省郑州市中原区人民法院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赵洪印</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王楠</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跨越桎梏：群体性劳动争议风险防控路径——基于“内卷化”效应的考量</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河南省平顶山市中级人民法院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刘士浩</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鲁晓辉</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潘林青</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道交纠纷诉前调解机制实证研究和制度完善——以</w:t>
      </w:r>
      <w:r>
        <w:rPr>
          <w:rFonts w:ascii="楷体_GB2312" w:eastAsia="楷体_GB2312" w:hAnsi="楷体_GB2312" w:cs="楷体_GB2312" w:hint="eastAsia"/>
          <w:sz w:val="24"/>
          <w:lang w:bidi="ar"/>
        </w:rPr>
        <w:t>903</w:t>
      </w:r>
      <w:r>
        <w:rPr>
          <w:rFonts w:ascii="楷体_GB2312" w:eastAsia="楷体_GB2312" w:hAnsi="楷体_GB2312" w:cs="楷体_GB2312" w:hint="eastAsia"/>
          <w:sz w:val="24"/>
          <w:lang w:bidi="ar"/>
        </w:rPr>
        <w:t>件</w:t>
      </w:r>
      <w:r>
        <w:rPr>
          <w:rFonts w:ascii="楷体_GB2312" w:eastAsia="楷体_GB2312" w:hAnsi="楷体_GB2312" w:cs="楷体_GB2312" w:hint="eastAsia"/>
          <w:sz w:val="24"/>
          <w:lang w:bidi="ar"/>
        </w:rPr>
        <w:t>P</w:t>
      </w:r>
      <w:r>
        <w:rPr>
          <w:rFonts w:ascii="楷体_GB2312" w:eastAsia="楷体_GB2312" w:hAnsi="楷体_GB2312" w:cs="楷体_GB2312" w:hint="eastAsia"/>
          <w:sz w:val="24"/>
          <w:lang w:bidi="ar"/>
        </w:rPr>
        <w:t>市</w:t>
      </w:r>
      <w:r>
        <w:rPr>
          <w:rFonts w:ascii="楷体_GB2312" w:eastAsia="楷体_GB2312" w:hAnsi="楷体_GB2312" w:cs="楷体_GB2312" w:hint="eastAsia"/>
          <w:sz w:val="24"/>
          <w:lang w:bidi="ar"/>
        </w:rPr>
        <w:t>H</w:t>
      </w:r>
      <w:r>
        <w:rPr>
          <w:rFonts w:ascii="楷体_GB2312" w:eastAsia="楷体_GB2312" w:hAnsi="楷体_GB2312" w:cs="楷体_GB2312" w:hint="eastAsia"/>
          <w:sz w:val="24"/>
          <w:lang w:bidi="ar"/>
        </w:rPr>
        <w:t>区道交纠纷诉前调解案件为样本</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河南省濮阳市中级人民法院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徐哲</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陈忠生</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张娟娟</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困境与出路：以行政裁决解决土地征收安置补偿纠纷路径构建</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河南省濮阳市中级人民法院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徐哲</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贾向阳</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张志启</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民事诉讼中对生效刑事判决确认事实的效力认定问题研究</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河南省南阳高新技术产业开发区人民法院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肖新征</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智慧法院视阈下智审辅助办案系统应用的现状与瞻望——以全国七家智审系统应用法院</w:t>
      </w:r>
      <w:r>
        <w:rPr>
          <w:rFonts w:ascii="楷体_GB2312" w:eastAsia="楷体_GB2312" w:hAnsi="楷体_GB2312" w:cs="楷体_GB2312" w:hint="eastAsia"/>
          <w:sz w:val="24"/>
          <w:lang w:bidi="ar"/>
        </w:rPr>
        <w:t>420</w:t>
      </w:r>
      <w:r>
        <w:rPr>
          <w:rFonts w:ascii="楷体_GB2312" w:eastAsia="楷体_GB2312" w:hAnsi="楷体_GB2312" w:cs="楷体_GB2312" w:hint="eastAsia"/>
          <w:sz w:val="24"/>
          <w:lang w:bidi="ar"/>
        </w:rPr>
        <w:t>起案件应用数据为样本</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河南省汝州市人民法院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杨长坡</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智亚利</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刘帅杰</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跨越塔西佗陷阱：人民法院新闻发言人制度审视与完善路径探析——以网络舆情应对风险防控为视角</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河南省濮阳市中级人民法院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徐哲</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张志强</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杨雷振</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打破循环：程序审查“入门难”的困境与出路——以行政诉讼驳回起诉适用率过高为视角</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河南省平顶山市中级人民法院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刘士浩</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颜亚伟</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“足以排除强制执行民事权益”的认定标准和完善路径——以有限责任公司中登记不</w:t>
      </w:r>
      <w:r>
        <w:rPr>
          <w:rFonts w:ascii="楷体_GB2312" w:eastAsia="楷体_GB2312" w:hAnsi="楷体_GB2312" w:cs="楷体_GB2312" w:hint="eastAsia"/>
          <w:sz w:val="24"/>
          <w:lang w:bidi="ar"/>
        </w:rPr>
        <w:t>实股权的执行为中心</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河南省新乡市中级人民法院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倪文怡</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lastRenderedPageBreak/>
        <w:t>尊让与规治：厘定司法介入“学术自治”的边界与深度——基于</w:t>
      </w:r>
      <w:r>
        <w:rPr>
          <w:rFonts w:ascii="楷体_GB2312" w:eastAsia="楷体_GB2312" w:hAnsi="楷体_GB2312" w:cs="楷体_GB2312" w:hint="eastAsia"/>
          <w:sz w:val="24"/>
          <w:lang w:bidi="ar"/>
        </w:rPr>
        <w:t>136</w:t>
      </w:r>
      <w:r>
        <w:rPr>
          <w:rFonts w:ascii="楷体_GB2312" w:eastAsia="楷体_GB2312" w:hAnsi="楷体_GB2312" w:cs="楷体_GB2312" w:hint="eastAsia"/>
          <w:sz w:val="24"/>
          <w:lang w:bidi="ar"/>
        </w:rPr>
        <w:t>份学位授予纠纷行政裁判文书的分析</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湖北省武汉市硚口区人民法院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黄文利</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李婷</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第三方平台介入社会治理化解群体性消费纠纷之探索——以预付费消费合同纠纷为例</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湖北省武汉经济技术开发区人民法院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严曦</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论多元解纷机制中法院引导功能的发挥——以当事人解纷选择权为视角</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湖北省黄石市中级人民法院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娄晶</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“技治”与“法治”——区块链在法院电子卷宗建设中适用性分析与法律风险探索</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湖北省襄阳高新技术产业开发区人民法院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程文辉</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杜英翔</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行政协议补救判决适用的类型化构建——从诉判关系的统一出发</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湖北省武汉市江夏区人民法院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周瑶</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框架理论视域下主流媒体司法改革报道的失衡与再平衡——以《人民日报》（</w:t>
      </w:r>
      <w:r>
        <w:rPr>
          <w:rFonts w:ascii="楷体_GB2312" w:eastAsia="楷体_GB2312" w:hAnsi="楷体_GB2312" w:cs="楷体_GB2312" w:hint="eastAsia"/>
          <w:sz w:val="24"/>
          <w:lang w:bidi="ar"/>
        </w:rPr>
        <w:t>2014-2019</w:t>
      </w:r>
      <w:r>
        <w:rPr>
          <w:rFonts w:ascii="楷体_GB2312" w:eastAsia="楷体_GB2312" w:hAnsi="楷体_GB2312" w:cs="楷体_GB2312" w:hint="eastAsia"/>
          <w:sz w:val="24"/>
          <w:lang w:bidi="ar"/>
        </w:rPr>
        <w:t>年）报道为例</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湖南省益阳市中级人民法院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邹玮</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“内外有别”</w:t>
      </w:r>
      <w:r>
        <w:rPr>
          <w:rFonts w:ascii="楷体_GB2312" w:eastAsia="楷体_GB2312" w:hAnsi="楷体_GB2312" w:cs="楷体_GB2312" w:hint="eastAsia"/>
          <w:sz w:val="24"/>
          <w:lang w:bidi="ar"/>
        </w:rPr>
        <w:t>:</w:t>
      </w:r>
      <w:r>
        <w:rPr>
          <w:rFonts w:ascii="楷体_GB2312" w:eastAsia="楷体_GB2312" w:hAnsi="楷体_GB2312" w:cs="楷体_GB2312" w:hint="eastAsia"/>
          <w:sz w:val="24"/>
          <w:lang w:bidi="ar"/>
        </w:rPr>
        <w:t>审委会决定与裁判文书认定的互动分析——以深度公开为主线</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湖南省怀化市中级人民法院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徐远太</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陆银清</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诉源治理视野下诉讼费罚则在保险交通事</w:t>
      </w:r>
      <w:r>
        <w:rPr>
          <w:rFonts w:ascii="楷体_GB2312" w:eastAsia="楷体_GB2312" w:hAnsi="楷体_GB2312" w:cs="楷体_GB2312" w:hint="eastAsia"/>
          <w:sz w:val="24"/>
          <w:lang w:bidi="ar"/>
        </w:rPr>
        <w:t>故案件诉调中的嵌入研究——以</w:t>
      </w:r>
      <w:r>
        <w:rPr>
          <w:rFonts w:ascii="楷体_GB2312" w:eastAsia="楷体_GB2312" w:hAnsi="楷体_GB2312" w:cs="楷体_GB2312" w:hint="eastAsia"/>
          <w:sz w:val="24"/>
          <w:lang w:bidi="ar"/>
        </w:rPr>
        <w:t>H</w:t>
      </w:r>
      <w:r>
        <w:rPr>
          <w:rFonts w:ascii="楷体_GB2312" w:eastAsia="楷体_GB2312" w:hAnsi="楷体_GB2312" w:cs="楷体_GB2312" w:hint="eastAsia"/>
          <w:sz w:val="24"/>
          <w:lang w:bidi="ar"/>
        </w:rPr>
        <w:t>省</w:t>
      </w:r>
      <w:r>
        <w:rPr>
          <w:rFonts w:ascii="楷体_GB2312" w:eastAsia="楷体_GB2312" w:hAnsi="楷体_GB2312" w:cs="楷体_GB2312" w:hint="eastAsia"/>
          <w:sz w:val="24"/>
          <w:lang w:bidi="ar"/>
        </w:rPr>
        <w:t>X</w:t>
      </w:r>
      <w:r>
        <w:rPr>
          <w:rFonts w:ascii="楷体_GB2312" w:eastAsia="楷体_GB2312" w:hAnsi="楷体_GB2312" w:cs="楷体_GB2312" w:hint="eastAsia"/>
          <w:sz w:val="24"/>
          <w:lang w:bidi="ar"/>
        </w:rPr>
        <w:t>县法院五年司法实践为样本的分析</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湖南省湘阴县人民法院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李卫东</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杨雪飞</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商会调解机制的实践检视与完善初探——基于行业自治与公力救济互补的视</w:t>
      </w:r>
      <w:r>
        <w:rPr>
          <w:rFonts w:ascii="楷体_GB2312" w:eastAsia="楷体_GB2312" w:hAnsi="楷体_GB2312" w:cs="楷体_GB2312" w:hint="eastAsia"/>
          <w:sz w:val="24"/>
          <w:lang w:bidi="ar"/>
        </w:rPr>
        <w:lastRenderedPageBreak/>
        <w:t>角</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湖南省郴州市苏仙区人民法院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王新龙</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刑事司法场域中监察证据适用非法证据排除规则之实效探究——缺陷、成因、风险与进路探寻</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湖南省嘉禾县人民法院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唐红</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湖南省郴州市中级人民法院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李小平</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如何办出精品案件：院庭长办案的标准及程序完善——以知识实践功能为视角</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湖南省怀化市中级人民法院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王再忠</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张安琪</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信息不对称环境下在线调解制度的</w:t>
      </w:r>
      <w:r>
        <w:rPr>
          <w:rFonts w:ascii="楷体_GB2312" w:eastAsia="楷体_GB2312" w:hAnsi="楷体_GB2312" w:cs="楷体_GB2312" w:hint="eastAsia"/>
          <w:sz w:val="24"/>
          <w:lang w:bidi="ar"/>
        </w:rPr>
        <w:t>风险与防范</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湖南省衡阳市中级人民法院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张经伟</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谭云鹏</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民事再审审查程序中独任制的有限适用——以案件繁简分流为基础的多维证成及程序保障</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湖南省高级人民法院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陈坚</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童飞霜</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制度“陷阱”还是“失效”：法官惩戒制度运行困境探析——以</w:t>
      </w:r>
      <w:r>
        <w:rPr>
          <w:rFonts w:ascii="楷体_GB2312" w:eastAsia="楷体_GB2312" w:hAnsi="楷体_GB2312" w:cs="楷体_GB2312" w:hint="eastAsia"/>
          <w:sz w:val="24"/>
          <w:lang w:bidi="ar"/>
        </w:rPr>
        <w:t>27</w:t>
      </w:r>
      <w:r>
        <w:rPr>
          <w:rFonts w:ascii="楷体_GB2312" w:eastAsia="楷体_GB2312" w:hAnsi="楷体_GB2312" w:cs="楷体_GB2312" w:hint="eastAsia"/>
          <w:sz w:val="24"/>
          <w:lang w:bidi="ar"/>
        </w:rPr>
        <w:t>个省级法官惩戒委员会为研究对象</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广州海事法院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陈铭强</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广州铁路运输法院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黄晓莹</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激变与回归：简案快审视野下新型绩效考核模式的重构及应用——从基层法院速裁团队工作量测算切入</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广东省深圳市福田区人民法院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胡许晴</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民事判项给付内容不明解决机制的理性思辨与路径构建——基于“审执衔接三元法”的分析</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lastRenderedPageBreak/>
        <w:t>广东省惠州市中级人民法院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陈斯</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广东省东莞市第一人民法院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谢奕</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区际送达制度之困境与突破——“分级送达体系</w:t>
      </w:r>
      <w:r>
        <w:rPr>
          <w:rFonts w:ascii="楷体_GB2312" w:eastAsia="楷体_GB2312" w:hAnsi="楷体_GB2312" w:cs="楷体_GB2312" w:hint="eastAsia"/>
          <w:sz w:val="24"/>
          <w:lang w:bidi="ar"/>
        </w:rPr>
        <w:t>+</w:t>
      </w:r>
      <w:r>
        <w:rPr>
          <w:rFonts w:ascii="楷体_GB2312" w:eastAsia="楷体_GB2312" w:hAnsi="楷体_GB2312" w:cs="楷体_GB2312" w:hint="eastAsia"/>
          <w:sz w:val="24"/>
          <w:lang w:bidi="ar"/>
        </w:rPr>
        <w:t>二维审查模式”重构区际送达规则</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广东省珠海市斗门区人民法院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黄叶</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法官如何释明：民事诉讼释明制度的乱象、反思与重构——以</w:t>
      </w:r>
      <w:r>
        <w:rPr>
          <w:rFonts w:ascii="楷体_GB2312" w:eastAsia="楷体_GB2312" w:hAnsi="楷体_GB2312" w:cs="楷体_GB2312" w:hint="eastAsia"/>
          <w:sz w:val="24"/>
          <w:lang w:bidi="ar"/>
        </w:rPr>
        <w:t>317</w:t>
      </w:r>
      <w:r>
        <w:rPr>
          <w:rFonts w:ascii="楷体_GB2312" w:eastAsia="楷体_GB2312" w:hAnsi="楷体_GB2312" w:cs="楷体_GB2312" w:hint="eastAsia"/>
          <w:sz w:val="24"/>
          <w:lang w:bidi="ar"/>
        </w:rPr>
        <w:t>份裁判文书为研究样本</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广东省广州市荔湾区人民法院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邓咏诗</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引公入私：环境民事公益诉讼的司法协同路径——以“排污标准”型塑“等置—涵摄”二阶裁判构造为例</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广东省广州市海珠区人民法院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杨佩霞</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广州大学</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余煜刚</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执行程序中追加未届出资期限股东的风险防控与规则探析——以谦抑理念下“有限”追加为指向</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广东省深圳市中级人民法院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陈朝毅</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广东省深圳市福田区人民法院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周长波</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统分结合：重大敏感案件诉讼程序的特殊化配置——以有效“脱敏”和风险防控为考量</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广东省揭阳市中级人民法院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张源宇</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越界与碰撞：热点案件司法公信力失范困境解构</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广东省广州市荔湾区人民法院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张鸣鸣</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“集思”如何“广益”：法官会议讨论规则的优化路径——以商谈理论为分析</w:t>
      </w:r>
      <w:r>
        <w:rPr>
          <w:rFonts w:ascii="楷体_GB2312" w:eastAsia="楷体_GB2312" w:hAnsi="楷体_GB2312" w:cs="楷体_GB2312" w:hint="eastAsia"/>
          <w:sz w:val="24"/>
          <w:lang w:bidi="ar"/>
        </w:rPr>
        <w:lastRenderedPageBreak/>
        <w:t>视角</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广东省广州市越秀区人民法院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谢春晖</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广东省广州市白云区人民</w:t>
      </w:r>
      <w:r>
        <w:rPr>
          <w:rFonts w:ascii="楷体_GB2312" w:eastAsia="楷体_GB2312" w:hAnsi="楷体_GB2312" w:cs="楷体_GB2312" w:hint="eastAsia"/>
          <w:sz w:val="24"/>
          <w:lang w:bidi="ar"/>
        </w:rPr>
        <w:t>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张剑文</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民事案件繁简甄别困境的大数据解决路径——以</w:t>
      </w:r>
      <w:r>
        <w:rPr>
          <w:rFonts w:ascii="楷体_GB2312" w:eastAsia="楷体_GB2312" w:hAnsi="楷体_GB2312" w:cs="楷体_GB2312" w:hint="eastAsia"/>
          <w:sz w:val="24"/>
          <w:lang w:bidi="ar"/>
        </w:rPr>
        <w:t>G</w:t>
      </w:r>
      <w:r>
        <w:rPr>
          <w:rFonts w:ascii="楷体_GB2312" w:eastAsia="楷体_GB2312" w:hAnsi="楷体_GB2312" w:cs="楷体_GB2312" w:hint="eastAsia"/>
          <w:sz w:val="24"/>
          <w:lang w:bidi="ar"/>
        </w:rPr>
        <w:t>市</w:t>
      </w:r>
      <w:r>
        <w:rPr>
          <w:rFonts w:ascii="楷体_GB2312" w:eastAsia="楷体_GB2312" w:hAnsi="楷体_GB2312" w:cs="楷体_GB2312" w:hint="eastAsia"/>
          <w:sz w:val="24"/>
          <w:lang w:bidi="ar"/>
        </w:rPr>
        <w:t>11</w:t>
      </w:r>
      <w:r>
        <w:rPr>
          <w:rFonts w:ascii="楷体_GB2312" w:eastAsia="楷体_GB2312" w:hAnsi="楷体_GB2312" w:cs="楷体_GB2312" w:hint="eastAsia"/>
          <w:sz w:val="24"/>
          <w:lang w:bidi="ar"/>
        </w:rPr>
        <w:t>个基层法院</w:t>
      </w:r>
      <w:r>
        <w:rPr>
          <w:rFonts w:ascii="楷体_GB2312" w:eastAsia="楷体_GB2312" w:hAnsi="楷体_GB2312" w:cs="楷体_GB2312" w:hint="eastAsia"/>
          <w:sz w:val="24"/>
          <w:lang w:bidi="ar"/>
        </w:rPr>
        <w:t>1000</w:t>
      </w:r>
      <w:r>
        <w:rPr>
          <w:rFonts w:ascii="楷体_GB2312" w:eastAsia="楷体_GB2312" w:hAnsi="楷体_GB2312" w:cs="楷体_GB2312" w:hint="eastAsia"/>
          <w:sz w:val="24"/>
          <w:lang w:bidi="ar"/>
        </w:rPr>
        <w:t>宗案件为样本</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广东省广州市白云区人民法院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刘侃</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广东省广州市中级人民法院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文琳</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繁简分流下民事“难案精审”方法论构建——以要件事实勾勒三阶十步审判法</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广东省珠海市香洲区人民法院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蒙秋仲</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法官释法的逻辑与维度：“同案不同判”质疑的破局路径——以知假买假请求惩罚性赔偿金案例为视角</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广东省广州市中级人民法院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刘燕槟</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钟健东</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在形式与实质之间：环境影响评价司法审查机制的反思与构建——基于环评邻人诉讼的实证研究</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广东省惠州市中级人民法院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吴芝仪</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“有力辩护”：指定辩护质量标准的构建——反思被高估的“有效辩护”理论</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广东省广州市中级人民法院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谢韵静</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执行绩效评价良性区间导向管理的实证研究——以</w:t>
      </w:r>
      <w:r>
        <w:rPr>
          <w:rFonts w:ascii="楷体_GB2312" w:eastAsia="楷体_GB2312" w:hAnsi="楷体_GB2312" w:cs="楷体_GB2312" w:hint="eastAsia"/>
          <w:sz w:val="24"/>
          <w:lang w:bidi="ar"/>
        </w:rPr>
        <w:t>A</w:t>
      </w:r>
      <w:r>
        <w:rPr>
          <w:rFonts w:ascii="楷体_GB2312" w:eastAsia="楷体_GB2312" w:hAnsi="楷体_GB2312" w:cs="楷体_GB2312" w:hint="eastAsia"/>
          <w:sz w:val="24"/>
          <w:lang w:bidi="ar"/>
        </w:rPr>
        <w:t>省</w:t>
      </w:r>
      <w:r>
        <w:rPr>
          <w:rFonts w:ascii="楷体_GB2312" w:eastAsia="楷体_GB2312" w:hAnsi="楷体_GB2312" w:cs="楷体_GB2312" w:hint="eastAsia"/>
          <w:sz w:val="24"/>
          <w:lang w:bidi="ar"/>
        </w:rPr>
        <w:t>24</w:t>
      </w:r>
      <w:r>
        <w:rPr>
          <w:rFonts w:ascii="楷体_GB2312" w:eastAsia="楷体_GB2312" w:hAnsi="楷体_GB2312" w:cs="楷体_GB2312" w:hint="eastAsia"/>
          <w:sz w:val="24"/>
          <w:lang w:bidi="ar"/>
        </w:rPr>
        <w:t>个中级法院为分析对象</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广东省湛江市中级人民法院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洪泉寿</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民事执行与刑事追缴退赔竞合下执行顺序的司法实践考察——以整体主义为分析方法</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lastRenderedPageBreak/>
        <w:t>广东省珠海市斗门区人民法院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陈晓辉</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成文武</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数据之眼：法官员额比例的逻辑前提与修正完善——基于</w:t>
      </w:r>
      <w:r>
        <w:rPr>
          <w:rFonts w:ascii="楷体_GB2312" w:eastAsia="楷体_GB2312" w:hAnsi="楷体_GB2312" w:cs="楷体_GB2312" w:hint="eastAsia"/>
          <w:sz w:val="24"/>
          <w:lang w:bidi="ar"/>
        </w:rPr>
        <w:t>政法编制、经济发展、案件数量、人口等数据的多维透视</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海南省高级人民法院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余德厚</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广东省深圳市中级人民法院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李桂红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秦少斌</w:t>
      </w:r>
    </w:p>
    <w:p w:rsidR="002E67B1" w:rsidRDefault="009C088F">
      <w:pPr>
        <w:rPr>
          <w:rFonts w:ascii="楷体_GB2312" w:eastAsia="楷体_GB2312" w:hAnsi="楷体_GB2312" w:cs="楷体_GB2312"/>
          <w:sz w:val="24"/>
          <w:lang w:bidi="ar"/>
        </w:rPr>
      </w:pPr>
      <w:r>
        <w:rPr>
          <w:rFonts w:ascii="楷体_GB2312" w:eastAsia="楷体_GB2312" w:hAnsi="楷体_GB2312" w:cs="楷体_GB2312"/>
          <w:sz w:val="24"/>
          <w:lang w:bidi="ar"/>
        </w:rPr>
        <w:t>从</w:t>
      </w:r>
      <w:r>
        <w:rPr>
          <w:rFonts w:ascii="楷体_GB2312" w:eastAsia="楷体_GB2312" w:hAnsi="楷体_GB2312" w:cs="楷体_GB2312"/>
          <w:sz w:val="24"/>
          <w:lang w:bidi="ar"/>
        </w:rPr>
        <w:t>158</w:t>
      </w:r>
      <w:r>
        <w:rPr>
          <w:rFonts w:ascii="楷体_GB2312" w:eastAsia="楷体_GB2312" w:hAnsi="楷体_GB2312" w:cs="楷体_GB2312"/>
          <w:sz w:val="24"/>
          <w:lang w:bidi="ar"/>
        </w:rPr>
        <w:t>份</w:t>
      </w:r>
      <w:r>
        <w:rPr>
          <w:rFonts w:ascii="楷体_GB2312" w:eastAsia="楷体_GB2312" w:hAnsi="楷体_GB2312" w:cs="楷体_GB2312"/>
          <w:sz w:val="24"/>
          <w:lang w:bidi="ar"/>
        </w:rPr>
        <w:t>“</w:t>
      </w:r>
      <w:r>
        <w:rPr>
          <w:rFonts w:ascii="楷体_GB2312" w:eastAsia="楷体_GB2312" w:hAnsi="楷体_GB2312" w:cs="楷体_GB2312"/>
          <w:sz w:val="24"/>
          <w:lang w:bidi="ar"/>
        </w:rPr>
        <w:t>值班信息</w:t>
      </w:r>
      <w:r>
        <w:rPr>
          <w:rFonts w:ascii="楷体_GB2312" w:eastAsia="楷体_GB2312" w:hAnsi="楷体_GB2312" w:cs="楷体_GB2312"/>
          <w:sz w:val="24"/>
          <w:lang w:bidi="ar"/>
        </w:rPr>
        <w:t>”</w:t>
      </w:r>
      <w:r>
        <w:rPr>
          <w:rFonts w:ascii="楷体_GB2312" w:eastAsia="楷体_GB2312" w:hAnsi="楷体_GB2312" w:cs="楷体_GB2312"/>
          <w:sz w:val="24"/>
          <w:lang w:bidi="ar"/>
        </w:rPr>
        <w:t>看基层人民法院刑事审判重大风险的防范思路</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sz w:val="24"/>
          <w:lang w:bidi="ar"/>
        </w:rPr>
        <w:t>重庆江北区人民法院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刘懿</w:t>
      </w:r>
      <w:r>
        <w:rPr>
          <w:rFonts w:ascii="楷体_GB2312" w:eastAsia="楷体_GB2312" w:hAnsi="楷体_GB2312" w:cs="楷体_GB2312"/>
          <w:sz w:val="24"/>
          <w:lang w:bidi="ar"/>
        </w:rPr>
        <w:t xml:space="preserve">  </w:t>
      </w:r>
      <w:r>
        <w:rPr>
          <w:rFonts w:ascii="楷体_GB2312" w:eastAsia="楷体_GB2312" w:hAnsi="楷体_GB2312" w:cs="楷体_GB2312"/>
          <w:sz w:val="24"/>
          <w:lang w:bidi="ar"/>
        </w:rPr>
        <w:t>王国平</w:t>
      </w:r>
    </w:p>
    <w:p w:rsidR="002E67B1" w:rsidRDefault="009C088F">
      <w:pPr>
        <w:rPr>
          <w:rFonts w:ascii="楷体_GB2312" w:eastAsia="楷体_GB2312" w:hAnsi="楷体_GB2312" w:cs="楷体_GB2312"/>
          <w:sz w:val="24"/>
          <w:lang w:bidi="ar"/>
        </w:rPr>
      </w:pPr>
      <w:r>
        <w:rPr>
          <w:rFonts w:ascii="楷体_GB2312" w:eastAsia="楷体_GB2312" w:hAnsi="楷体_GB2312" w:cs="楷体_GB2312"/>
          <w:sz w:val="24"/>
          <w:lang w:bidi="ar"/>
        </w:rPr>
        <w:t>全流程引导：众声喧哗中涉法热点案事件舆情应对检视与修正</w:t>
      </w:r>
      <w:r>
        <w:rPr>
          <w:rFonts w:ascii="楷体_GB2312" w:eastAsia="楷体_GB2312" w:hAnsi="楷体_GB2312" w:cs="楷体_GB2312"/>
          <w:sz w:val="24"/>
          <w:lang w:bidi="ar"/>
        </w:rPr>
        <w:t>——</w:t>
      </w:r>
      <w:r>
        <w:rPr>
          <w:rFonts w:ascii="楷体_GB2312" w:eastAsia="楷体_GB2312" w:hAnsi="楷体_GB2312" w:cs="楷体_GB2312"/>
          <w:sz w:val="24"/>
          <w:lang w:bidi="ar"/>
        </w:rPr>
        <w:t>以近</w:t>
      </w:r>
      <w:r>
        <w:rPr>
          <w:rFonts w:ascii="楷体_GB2312" w:eastAsia="楷体_GB2312" w:hAnsi="楷体_GB2312" w:cs="楷体_GB2312"/>
          <w:sz w:val="24"/>
          <w:lang w:bidi="ar"/>
        </w:rPr>
        <w:t>2</w:t>
      </w:r>
      <w:r>
        <w:rPr>
          <w:rFonts w:ascii="楷体_GB2312" w:eastAsia="楷体_GB2312" w:hAnsi="楷体_GB2312" w:cs="楷体_GB2312"/>
          <w:sz w:val="24"/>
          <w:lang w:bidi="ar"/>
        </w:rPr>
        <w:t>年微博热搜榜</w:t>
      </w:r>
      <w:r>
        <w:rPr>
          <w:rFonts w:ascii="楷体_GB2312" w:eastAsia="楷体_GB2312" w:hAnsi="楷体_GB2312" w:cs="楷体_GB2312"/>
          <w:sz w:val="24"/>
          <w:lang w:bidi="ar"/>
        </w:rPr>
        <w:t>174</w:t>
      </w:r>
      <w:r>
        <w:rPr>
          <w:rFonts w:ascii="楷体_GB2312" w:eastAsia="楷体_GB2312" w:hAnsi="楷体_GB2312" w:cs="楷体_GB2312"/>
          <w:sz w:val="24"/>
          <w:lang w:bidi="ar"/>
        </w:rPr>
        <w:t>件涉法院案事件为样本</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sz w:val="24"/>
          <w:lang w:bidi="ar"/>
        </w:rPr>
        <w:t>重庆市第一中级人民法院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魏杰</w:t>
      </w:r>
      <w:r>
        <w:rPr>
          <w:rFonts w:ascii="楷体_GB2312" w:eastAsia="楷体_GB2312" w:hAnsi="楷体_GB2312" w:cs="楷体_GB2312"/>
          <w:sz w:val="24"/>
          <w:lang w:bidi="ar"/>
        </w:rPr>
        <w:t xml:space="preserve">  </w:t>
      </w:r>
      <w:r>
        <w:rPr>
          <w:rFonts w:ascii="楷体_GB2312" w:eastAsia="楷体_GB2312" w:hAnsi="楷体_GB2312" w:cs="楷体_GB2312"/>
          <w:sz w:val="24"/>
          <w:lang w:bidi="ar"/>
        </w:rPr>
        <w:t>张志清</w:t>
      </w:r>
      <w:r>
        <w:rPr>
          <w:rFonts w:ascii="楷体_GB2312" w:eastAsia="楷体_GB2312" w:hAnsi="楷体_GB2312" w:cs="楷体_GB2312"/>
          <w:sz w:val="24"/>
          <w:lang w:bidi="ar"/>
        </w:rPr>
        <w:t xml:space="preserve">  </w:t>
      </w:r>
      <w:r>
        <w:rPr>
          <w:rFonts w:ascii="楷体_GB2312" w:eastAsia="楷体_GB2312" w:hAnsi="楷体_GB2312" w:cs="楷体_GB2312"/>
          <w:sz w:val="24"/>
          <w:lang w:bidi="ar"/>
        </w:rPr>
        <w:t>黄晨</w:t>
      </w:r>
    </w:p>
    <w:p w:rsidR="002E67B1" w:rsidRDefault="009C088F">
      <w:pPr>
        <w:rPr>
          <w:rFonts w:ascii="楷体_GB2312" w:eastAsia="楷体_GB2312" w:hAnsi="楷体_GB2312" w:cs="楷体_GB2312"/>
          <w:sz w:val="24"/>
          <w:lang w:bidi="ar"/>
        </w:rPr>
      </w:pPr>
      <w:r>
        <w:rPr>
          <w:rFonts w:ascii="楷体_GB2312" w:eastAsia="楷体_GB2312" w:hAnsi="楷体_GB2312" w:cs="楷体_GB2312"/>
          <w:sz w:val="24"/>
          <w:lang w:bidi="ar"/>
        </w:rPr>
        <w:t>智能审判的量化与精确</w:t>
      </w:r>
      <w:r>
        <w:rPr>
          <w:rFonts w:ascii="楷体_GB2312" w:eastAsia="楷体_GB2312" w:hAnsi="楷体_GB2312" w:cs="楷体_GB2312"/>
          <w:sz w:val="24"/>
          <w:lang w:bidi="ar"/>
        </w:rPr>
        <w:t>——</w:t>
      </w:r>
      <w:r>
        <w:rPr>
          <w:rFonts w:ascii="楷体_GB2312" w:eastAsia="楷体_GB2312" w:hAnsi="楷体_GB2312" w:cs="楷体_GB2312"/>
          <w:sz w:val="24"/>
          <w:lang w:bidi="ar"/>
        </w:rPr>
        <w:t>基于金融借款合同纠纷案件的模拟研究</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sz w:val="24"/>
          <w:lang w:bidi="ar"/>
        </w:rPr>
        <w:t>重庆市大足区人民法院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赵鑫</w:t>
      </w:r>
      <w:r>
        <w:rPr>
          <w:rFonts w:ascii="楷体_GB2312" w:eastAsia="楷体_GB2312" w:hAnsi="楷体_GB2312" w:cs="楷体_GB2312"/>
          <w:sz w:val="24"/>
          <w:lang w:bidi="ar"/>
        </w:rPr>
        <w:t xml:space="preserve">  </w:t>
      </w:r>
      <w:r>
        <w:rPr>
          <w:rFonts w:ascii="楷体_GB2312" w:eastAsia="楷体_GB2312" w:hAnsi="楷体_GB2312" w:cs="楷体_GB2312"/>
          <w:sz w:val="24"/>
          <w:lang w:bidi="ar"/>
        </w:rPr>
        <w:t>李攀</w:t>
      </w:r>
    </w:p>
    <w:p w:rsidR="002E67B1" w:rsidRDefault="009C088F">
      <w:pPr>
        <w:rPr>
          <w:rFonts w:ascii="楷体_GB2312" w:eastAsia="楷体_GB2312" w:hAnsi="楷体_GB2312" w:cs="楷体_GB2312"/>
          <w:sz w:val="24"/>
          <w:lang w:bidi="ar"/>
        </w:rPr>
      </w:pPr>
      <w:r>
        <w:rPr>
          <w:rFonts w:ascii="楷体_GB2312" w:eastAsia="楷体_GB2312" w:hAnsi="楷体_GB2312" w:cs="楷体_GB2312"/>
          <w:sz w:val="24"/>
          <w:lang w:bidi="ar"/>
        </w:rPr>
        <w:t>当前认罪认罚从宽实践运行中错案风险与防范机制</w:t>
      </w:r>
      <w:r>
        <w:rPr>
          <w:rFonts w:ascii="楷体_GB2312" w:eastAsia="楷体_GB2312" w:hAnsi="楷体_GB2312" w:cs="楷体_GB2312"/>
          <w:sz w:val="24"/>
          <w:lang w:bidi="ar"/>
        </w:rPr>
        <w:t>——</w:t>
      </w:r>
      <w:r>
        <w:rPr>
          <w:rFonts w:ascii="楷体_GB2312" w:eastAsia="楷体_GB2312" w:hAnsi="楷体_GB2312" w:cs="楷体_GB2312"/>
          <w:sz w:val="24"/>
          <w:lang w:bidi="ar"/>
        </w:rPr>
        <w:t>以重塑认罪认罚速裁庭审程序为防范切入</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sz w:val="24"/>
          <w:lang w:bidi="ar"/>
        </w:rPr>
        <w:t>重庆市第一中级人民法院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李遵礼</w:t>
      </w:r>
      <w:r>
        <w:rPr>
          <w:rFonts w:ascii="楷体_GB2312" w:eastAsia="楷体_GB2312" w:hAnsi="楷体_GB2312" w:cs="楷体_GB2312"/>
          <w:sz w:val="24"/>
          <w:lang w:bidi="ar"/>
        </w:rPr>
        <w:t xml:space="preserve">  </w:t>
      </w:r>
      <w:r>
        <w:rPr>
          <w:rFonts w:ascii="楷体_GB2312" w:eastAsia="楷体_GB2312" w:hAnsi="楷体_GB2312" w:cs="楷体_GB2312"/>
          <w:sz w:val="24"/>
          <w:lang w:bidi="ar"/>
        </w:rPr>
        <w:t>詹勤艳</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类案范本指引：法官指引制度实质化运行的实现</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四川省成都市武侯区人民法院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唐楠栋</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诉权界阀与正当行使：立案登记制下恶意诉讼防范机制构建——基于实体与程序设置的二维视角</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四川省岳池县人民法院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陈芸莹</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四川省广安市中级人民法院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戴建军</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马露</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法院集团类案件审理中的风险及防控机制建构——以</w:t>
      </w:r>
      <w:r>
        <w:rPr>
          <w:rFonts w:ascii="楷体_GB2312" w:eastAsia="楷体_GB2312" w:hAnsi="楷体_GB2312" w:cs="楷体_GB2312" w:hint="eastAsia"/>
          <w:sz w:val="24"/>
          <w:lang w:bidi="ar"/>
        </w:rPr>
        <w:t>C</w:t>
      </w:r>
      <w:r>
        <w:rPr>
          <w:rFonts w:ascii="楷体_GB2312" w:eastAsia="楷体_GB2312" w:hAnsi="楷体_GB2312" w:cs="楷体_GB2312" w:hint="eastAsia"/>
          <w:sz w:val="24"/>
          <w:lang w:bidi="ar"/>
        </w:rPr>
        <w:t>市</w:t>
      </w:r>
      <w:r>
        <w:rPr>
          <w:rFonts w:ascii="楷体_GB2312" w:eastAsia="楷体_GB2312" w:hAnsi="楷体_GB2312" w:cs="楷体_GB2312" w:hint="eastAsia"/>
          <w:sz w:val="24"/>
          <w:lang w:bidi="ar"/>
        </w:rPr>
        <w:t>G</w:t>
      </w:r>
      <w:r>
        <w:rPr>
          <w:rFonts w:ascii="楷体_GB2312" w:eastAsia="楷体_GB2312" w:hAnsi="楷体_GB2312" w:cs="楷体_GB2312" w:hint="eastAsia"/>
          <w:sz w:val="24"/>
          <w:lang w:bidi="ar"/>
        </w:rPr>
        <w:t>法院近三年集团类</w:t>
      </w:r>
      <w:r>
        <w:rPr>
          <w:rFonts w:ascii="楷体_GB2312" w:eastAsia="楷体_GB2312" w:hAnsi="楷体_GB2312" w:cs="楷体_GB2312" w:hint="eastAsia"/>
          <w:sz w:val="24"/>
          <w:lang w:bidi="ar"/>
        </w:rPr>
        <w:lastRenderedPageBreak/>
        <w:t>案件审理情况为样本</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四川省成都高新技术产业开发区人民法院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徐永红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黄珊珊</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改革工具的重新选择：省级统管后法院经费保障机制再造</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四川省成都市武侯区人民法院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范丽思</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如何塑造“模范法官”</w:t>
      </w:r>
      <w:r>
        <w:rPr>
          <w:rFonts w:ascii="楷体_GB2312" w:eastAsia="楷体_GB2312" w:hAnsi="楷体_GB2312" w:cs="楷体_GB2312" w:hint="eastAsia"/>
          <w:sz w:val="24"/>
          <w:lang w:bidi="ar"/>
        </w:rPr>
        <w:t>:</w:t>
      </w:r>
      <w:r>
        <w:rPr>
          <w:rFonts w:ascii="楷体_GB2312" w:eastAsia="楷体_GB2312" w:hAnsi="楷体_GB2312" w:cs="楷体_GB2312" w:hint="eastAsia"/>
          <w:sz w:val="24"/>
          <w:lang w:bidi="ar"/>
        </w:rPr>
        <w:t>司法荣誉的实践样态与制度改进</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四川省巴中市中级人民法院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徐文昌</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程德栋</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先行调解中当事人行为选择偏好分析及其运用——以促调解效果最佳化的法经济学角度透视</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四川省德阳市中级人民法院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张文敏</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杨轩</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黄丹丹</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对法官员额动态调整的现实思考——以</w:t>
      </w:r>
      <w:r>
        <w:rPr>
          <w:rFonts w:ascii="楷体_GB2312" w:eastAsia="楷体_GB2312" w:hAnsi="楷体_GB2312" w:cs="楷体_GB2312" w:hint="eastAsia"/>
          <w:sz w:val="24"/>
          <w:lang w:bidi="ar"/>
        </w:rPr>
        <w:t>Y</w:t>
      </w:r>
      <w:r>
        <w:rPr>
          <w:rFonts w:ascii="楷体_GB2312" w:eastAsia="楷体_GB2312" w:hAnsi="楷体_GB2312" w:cs="楷体_GB2312" w:hint="eastAsia"/>
          <w:sz w:val="24"/>
          <w:lang w:bidi="ar"/>
        </w:rPr>
        <w:t>省为切入视角</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云南省高级人民法院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廖永兵</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多维重塑：审判委员会决定及理由在刑事裁判文书公开中</w:t>
      </w:r>
      <w:r>
        <w:rPr>
          <w:rFonts w:ascii="楷体_GB2312" w:eastAsia="楷体_GB2312" w:hAnsi="楷体_GB2312" w:cs="楷体_GB2312" w:hint="eastAsia"/>
          <w:sz w:val="24"/>
          <w:lang w:bidi="ar"/>
        </w:rPr>
        <w:t>的缺失与弥合——以中国裁判文书网公开的</w:t>
      </w:r>
      <w:r>
        <w:rPr>
          <w:rFonts w:ascii="楷体_GB2312" w:eastAsia="楷体_GB2312" w:hAnsi="楷体_GB2312" w:cs="楷体_GB2312" w:hint="eastAsia"/>
          <w:sz w:val="24"/>
          <w:lang w:bidi="ar"/>
        </w:rPr>
        <w:t>912</w:t>
      </w:r>
      <w:r>
        <w:rPr>
          <w:rFonts w:ascii="楷体_GB2312" w:eastAsia="楷体_GB2312" w:hAnsi="楷体_GB2312" w:cs="楷体_GB2312" w:hint="eastAsia"/>
          <w:sz w:val="24"/>
          <w:lang w:bidi="ar"/>
        </w:rPr>
        <w:t>份刑事判决书为样本</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北京市顺义区人民法院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王海龙</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云南省高级人民法院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孙熹</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北京市顺义区人民检察院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康云</w:t>
      </w:r>
    </w:p>
    <w:p w:rsidR="002E67B1" w:rsidRDefault="009C088F">
      <w:pPr>
        <w:rPr>
          <w:rFonts w:ascii="楷体_GB2312" w:eastAsia="楷体_GB2312" w:hAnsi="楷体_GB2312" w:cs="楷体_GB2312"/>
          <w:sz w:val="24"/>
          <w:lang w:bidi="ar"/>
        </w:rPr>
      </w:pPr>
      <w:r>
        <w:rPr>
          <w:rFonts w:ascii="楷体_GB2312" w:eastAsia="楷体_GB2312" w:hAnsi="楷体_GB2312" w:cs="楷体_GB2312"/>
          <w:sz w:val="24"/>
          <w:lang w:bidi="ar"/>
        </w:rPr>
        <w:t>自由型抑或效能型法治：管辖权审查制度的耗时考量</w:t>
      </w:r>
      <w:r>
        <w:rPr>
          <w:rFonts w:ascii="楷体_GB2312" w:eastAsia="楷体_GB2312" w:hAnsi="楷体_GB2312" w:cs="楷体_GB2312"/>
          <w:sz w:val="24"/>
          <w:lang w:bidi="ar"/>
        </w:rPr>
        <w:t>——</w:t>
      </w:r>
      <w:r>
        <w:rPr>
          <w:rFonts w:ascii="楷体_GB2312" w:eastAsia="楷体_GB2312" w:hAnsi="楷体_GB2312" w:cs="楷体_GB2312"/>
          <w:sz w:val="24"/>
          <w:lang w:bidi="ar"/>
        </w:rPr>
        <w:t>基于提升我国营商环境的法律视角</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sz w:val="24"/>
          <w:lang w:bidi="ar"/>
        </w:rPr>
        <w:t>陕西省西安市中级人民法院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赵海峰</w:t>
      </w:r>
      <w:r>
        <w:rPr>
          <w:rFonts w:ascii="楷体_GB2312" w:eastAsia="楷体_GB2312" w:hAnsi="楷体_GB2312" w:cs="楷体_GB2312"/>
          <w:sz w:val="24"/>
          <w:lang w:bidi="ar"/>
        </w:rPr>
        <w:t xml:space="preserve">  </w:t>
      </w:r>
      <w:r>
        <w:rPr>
          <w:rFonts w:ascii="楷体_GB2312" w:eastAsia="楷体_GB2312" w:hAnsi="楷体_GB2312" w:cs="楷体_GB2312"/>
          <w:sz w:val="24"/>
          <w:lang w:bidi="ar"/>
        </w:rPr>
        <w:t>尚卫民</w:t>
      </w:r>
      <w:r>
        <w:rPr>
          <w:rFonts w:ascii="楷体_GB2312" w:eastAsia="楷体_GB2312" w:hAnsi="楷体_GB2312" w:cs="楷体_GB2312"/>
          <w:sz w:val="24"/>
          <w:lang w:bidi="ar"/>
        </w:rPr>
        <w:t xml:space="preserve">  </w:t>
      </w:r>
      <w:r>
        <w:rPr>
          <w:rFonts w:ascii="楷体_GB2312" w:eastAsia="楷体_GB2312" w:hAnsi="楷体_GB2312" w:cs="楷体_GB2312"/>
          <w:sz w:val="24"/>
          <w:lang w:bidi="ar"/>
        </w:rPr>
        <w:t>张雪婷</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从无序到有序：审判责任认定的规则之路——以审判责任构成要件理论为基础</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北京市第一中级人民法院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伍涛</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刘雅璠</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甘肃省高级人民法院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刘吉旭</w:t>
      </w:r>
    </w:p>
    <w:p w:rsidR="002E67B1" w:rsidRDefault="009C088F">
      <w:pPr>
        <w:rPr>
          <w:rFonts w:ascii="楷体_GB2312" w:eastAsia="楷体_GB2312" w:hAnsi="楷体_GB2312" w:cs="楷体_GB2312"/>
          <w:sz w:val="24"/>
          <w:lang w:bidi="ar"/>
        </w:rPr>
      </w:pPr>
      <w:r>
        <w:rPr>
          <w:rFonts w:ascii="楷体_GB2312" w:eastAsia="楷体_GB2312" w:hAnsi="楷体_GB2312" w:cs="楷体_GB2312"/>
          <w:sz w:val="24"/>
          <w:lang w:bidi="ar"/>
        </w:rPr>
        <w:lastRenderedPageBreak/>
        <w:t>破茧成蝶：司改新时期政法编法官助理的职业瓶颈与出路</w:t>
      </w:r>
      <w:r>
        <w:rPr>
          <w:rFonts w:ascii="楷体_GB2312" w:eastAsia="楷体_GB2312" w:hAnsi="楷体_GB2312" w:cs="楷体_GB2312"/>
          <w:sz w:val="24"/>
          <w:lang w:bidi="ar"/>
        </w:rPr>
        <w:t>——</w:t>
      </w:r>
      <w:r>
        <w:rPr>
          <w:rFonts w:ascii="楷体_GB2312" w:eastAsia="楷体_GB2312" w:hAnsi="楷体_GB2312" w:cs="楷体_GB2312"/>
          <w:sz w:val="24"/>
          <w:lang w:bidi="ar"/>
        </w:rPr>
        <w:t>以</w:t>
      </w:r>
      <w:r>
        <w:rPr>
          <w:rFonts w:ascii="楷体_GB2312" w:eastAsia="楷体_GB2312" w:hAnsi="楷体_GB2312" w:cs="楷体_GB2312"/>
          <w:sz w:val="24"/>
          <w:lang w:bidi="ar"/>
        </w:rPr>
        <w:t>524</w:t>
      </w:r>
      <w:r>
        <w:rPr>
          <w:rFonts w:ascii="楷体_GB2312" w:eastAsia="楷体_GB2312" w:hAnsi="楷体_GB2312" w:cs="楷体_GB2312"/>
          <w:sz w:val="24"/>
          <w:lang w:bidi="ar"/>
        </w:rPr>
        <w:t>份政法编法官助理调查问卷为样本</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sz w:val="24"/>
          <w:lang w:bidi="ar"/>
        </w:rPr>
        <w:t>青海省格尔木市人民法院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张志慧</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sz w:val="24"/>
          <w:lang w:bidi="ar"/>
        </w:rPr>
        <w:t>北京市顺义区人民法院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孟思</w:t>
      </w:r>
    </w:p>
    <w:p w:rsidR="002E67B1" w:rsidRDefault="009C088F">
      <w:pPr>
        <w:rPr>
          <w:rFonts w:ascii="楷体_GB2312" w:eastAsia="楷体_GB2312" w:hAnsi="楷体_GB2312" w:cs="楷体_GB2312"/>
          <w:sz w:val="24"/>
          <w:lang w:bidi="ar"/>
        </w:rPr>
      </w:pPr>
      <w:r>
        <w:rPr>
          <w:rFonts w:ascii="楷体_GB2312" w:eastAsia="楷体_GB2312" w:hAnsi="楷体_GB2312" w:cs="楷体_GB2312" w:hint="eastAsia"/>
          <w:sz w:val="24"/>
          <w:lang w:bidi="ar"/>
        </w:rPr>
        <w:t>“智慧法院”办案场景下的可视化工具：原理、路径与功能</w:t>
      </w:r>
    </w:p>
    <w:p w:rsidR="002E67B1" w:rsidRDefault="009C088F">
      <w:pPr>
        <w:wordWrap w:val="0"/>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宁夏回族自治区高级人民法院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朱丽梅</w:t>
      </w:r>
    </w:p>
    <w:p w:rsidR="002E67B1" w:rsidRDefault="009C088F">
      <w:pPr>
        <w:wordWrap w:val="0"/>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北京市第一中级人民法院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陈大林</w:t>
      </w:r>
    </w:p>
    <w:p w:rsidR="002E67B1" w:rsidRDefault="009C088F">
      <w:pPr>
        <w:rPr>
          <w:rFonts w:ascii="楷体_GB2312" w:eastAsia="楷体_GB2312" w:hAnsi="楷体_GB2312" w:cs="楷体_GB2312"/>
          <w:sz w:val="24"/>
          <w:lang w:bidi="ar"/>
        </w:rPr>
      </w:pPr>
      <w:r>
        <w:rPr>
          <w:rFonts w:ascii="楷体_GB2312" w:eastAsia="楷体_GB2312" w:hAnsi="楷体_GB2312" w:cs="楷体_GB2312"/>
          <w:sz w:val="24"/>
          <w:lang w:bidi="ar"/>
        </w:rPr>
        <w:t>恶意转移财产规避执行的规制探析</w:t>
      </w:r>
      <w:r>
        <w:rPr>
          <w:rFonts w:ascii="楷体_GB2312" w:eastAsia="楷体_GB2312" w:hAnsi="楷体_GB2312" w:cs="楷体_GB2312"/>
          <w:sz w:val="24"/>
          <w:lang w:bidi="ar"/>
        </w:rPr>
        <w:t>——</w:t>
      </w:r>
      <w:r>
        <w:rPr>
          <w:rFonts w:ascii="楷体_GB2312" w:eastAsia="楷体_GB2312" w:hAnsi="楷体_GB2312" w:cs="楷体_GB2312"/>
          <w:sz w:val="24"/>
          <w:lang w:bidi="ar"/>
        </w:rPr>
        <w:t>以</w:t>
      </w:r>
      <w:r>
        <w:rPr>
          <w:rFonts w:ascii="楷体_GB2312" w:eastAsia="楷体_GB2312" w:hAnsi="楷体_GB2312" w:cs="楷体_GB2312"/>
          <w:sz w:val="24"/>
          <w:lang w:bidi="ar"/>
        </w:rPr>
        <w:t>184</w:t>
      </w:r>
      <w:r>
        <w:rPr>
          <w:rFonts w:ascii="楷体_GB2312" w:eastAsia="楷体_GB2312" w:hAnsi="楷体_GB2312" w:cs="楷体_GB2312"/>
          <w:sz w:val="24"/>
          <w:lang w:bidi="ar"/>
        </w:rPr>
        <w:t>份执行裁定书为分析样本</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sz w:val="24"/>
          <w:lang w:bidi="ar"/>
        </w:rPr>
        <w:t>北京市怀柔区人民法院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杨亚妹</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翟国军</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sz w:val="24"/>
          <w:lang w:bidi="ar"/>
        </w:rPr>
        <w:t>新疆生产建设兵团第八师中级人民法院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陶世栋</w:t>
      </w:r>
    </w:p>
    <w:p w:rsidR="002E67B1" w:rsidRDefault="009C088F">
      <w:pPr>
        <w:rPr>
          <w:rFonts w:ascii="楷体_GB2312" w:eastAsia="楷体_GB2312" w:hAnsi="楷体_GB2312" w:cs="楷体_GB2312"/>
          <w:sz w:val="24"/>
          <w:lang w:bidi="ar"/>
        </w:rPr>
      </w:pPr>
      <w:r>
        <w:rPr>
          <w:rFonts w:ascii="楷体_GB2312" w:eastAsia="楷体_GB2312" w:hAnsi="楷体_GB2312" w:cs="楷体_GB2312"/>
          <w:sz w:val="24"/>
          <w:lang w:bidi="ar"/>
        </w:rPr>
        <w:t>清单革命：裁判文书错误规律探源与校核机制重构</w:t>
      </w:r>
      <w:r>
        <w:rPr>
          <w:rFonts w:ascii="楷体_GB2312" w:eastAsia="楷体_GB2312" w:hAnsi="楷体_GB2312" w:cs="楷体_GB2312"/>
          <w:sz w:val="24"/>
          <w:lang w:bidi="ar"/>
        </w:rPr>
        <w:t>——“</w:t>
      </w:r>
      <w:r>
        <w:rPr>
          <w:rFonts w:ascii="楷体_GB2312" w:eastAsia="楷体_GB2312" w:hAnsi="楷体_GB2312" w:cs="楷体_GB2312"/>
          <w:sz w:val="24"/>
          <w:lang w:bidi="ar"/>
        </w:rPr>
        <w:t>清单引导</w:t>
      </w:r>
      <w:r>
        <w:rPr>
          <w:rFonts w:ascii="楷体_GB2312" w:eastAsia="楷体_GB2312" w:hAnsi="楷体_GB2312" w:cs="楷体_GB2312"/>
          <w:sz w:val="24"/>
          <w:lang w:bidi="ar"/>
        </w:rPr>
        <w:t>+</w:t>
      </w:r>
      <w:r>
        <w:rPr>
          <w:rFonts w:ascii="楷体_GB2312" w:eastAsia="楷体_GB2312" w:hAnsi="楷体_GB2312" w:cs="楷体_GB2312"/>
          <w:sz w:val="24"/>
          <w:lang w:bidi="ar"/>
        </w:rPr>
        <w:t>混合分工</w:t>
      </w:r>
      <w:r>
        <w:rPr>
          <w:rFonts w:ascii="楷体_GB2312" w:eastAsia="楷体_GB2312" w:hAnsi="楷体_GB2312" w:cs="楷体_GB2312"/>
          <w:sz w:val="24"/>
          <w:lang w:bidi="ar"/>
        </w:rPr>
        <w:t>”</w:t>
      </w:r>
      <w:r>
        <w:rPr>
          <w:rFonts w:ascii="楷体_GB2312" w:eastAsia="楷体_GB2312" w:hAnsi="楷体_GB2312" w:cs="楷体_GB2312"/>
          <w:sz w:val="24"/>
          <w:lang w:bidi="ar"/>
        </w:rPr>
        <w:t>注意</w:t>
      </w:r>
      <w:r>
        <w:rPr>
          <w:rFonts w:ascii="楷体_GB2312" w:eastAsia="楷体_GB2312" w:hAnsi="楷体_GB2312" w:cs="楷体_GB2312"/>
          <w:sz w:val="24"/>
          <w:lang w:bidi="ar"/>
        </w:rPr>
        <w:t>力资源优化配置为进路</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sz w:val="24"/>
          <w:lang w:bidi="ar"/>
        </w:rPr>
        <w:t>中国政法大学</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原静</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sz w:val="24"/>
          <w:lang w:bidi="ar"/>
        </w:rPr>
        <w:t>中国社会科学院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李俊晔</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北京航空航天大学</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宁晓栩</w:t>
      </w:r>
    </w:p>
    <w:p w:rsidR="002E67B1" w:rsidRDefault="009C088F">
      <w:pPr>
        <w:rPr>
          <w:rFonts w:ascii="楷体_GB2312" w:eastAsia="楷体_GB2312" w:hAnsi="楷体_GB2312" w:cs="楷体_GB2312"/>
          <w:sz w:val="24"/>
          <w:lang w:bidi="ar"/>
        </w:rPr>
      </w:pPr>
      <w:r>
        <w:rPr>
          <w:rFonts w:ascii="楷体_GB2312" w:eastAsia="楷体_GB2312" w:hAnsi="楷体_GB2312" w:cs="楷体_GB2312"/>
          <w:sz w:val="24"/>
          <w:lang w:bidi="ar"/>
        </w:rPr>
        <w:t>法官惩戒事由的再框定</w:t>
      </w:r>
      <w:r>
        <w:rPr>
          <w:rFonts w:ascii="楷体_GB2312" w:eastAsia="楷体_GB2312" w:hAnsi="楷体_GB2312" w:cs="楷体_GB2312"/>
          <w:sz w:val="24"/>
          <w:lang w:bidi="ar"/>
        </w:rPr>
        <w:t>——</w:t>
      </w:r>
      <w:r>
        <w:rPr>
          <w:rFonts w:ascii="楷体_GB2312" w:eastAsia="楷体_GB2312" w:hAnsi="楷体_GB2312" w:cs="楷体_GB2312"/>
          <w:sz w:val="24"/>
          <w:lang w:bidi="ar"/>
        </w:rPr>
        <w:t>从侧重</w:t>
      </w:r>
      <w:r>
        <w:rPr>
          <w:rFonts w:ascii="楷体_GB2312" w:eastAsia="楷体_GB2312" w:hAnsi="楷体_GB2312" w:cs="楷体_GB2312"/>
          <w:sz w:val="24"/>
          <w:lang w:bidi="ar"/>
        </w:rPr>
        <w:t>“</w:t>
      </w:r>
      <w:r>
        <w:rPr>
          <w:rFonts w:ascii="楷体_GB2312" w:eastAsia="楷体_GB2312" w:hAnsi="楷体_GB2312" w:cs="楷体_GB2312"/>
          <w:sz w:val="24"/>
          <w:lang w:bidi="ar"/>
        </w:rPr>
        <w:t>实体结果</w:t>
      </w:r>
      <w:r>
        <w:rPr>
          <w:rFonts w:ascii="楷体_GB2312" w:eastAsia="楷体_GB2312" w:hAnsi="楷体_GB2312" w:cs="楷体_GB2312"/>
          <w:sz w:val="24"/>
          <w:lang w:bidi="ar"/>
        </w:rPr>
        <w:t>”</w:t>
      </w:r>
      <w:r>
        <w:rPr>
          <w:rFonts w:ascii="楷体_GB2312" w:eastAsia="楷体_GB2312" w:hAnsi="楷体_GB2312" w:cs="楷体_GB2312"/>
          <w:sz w:val="24"/>
          <w:lang w:bidi="ar"/>
        </w:rPr>
        <w:t>转向关注</w:t>
      </w:r>
      <w:r>
        <w:rPr>
          <w:rFonts w:ascii="楷体_GB2312" w:eastAsia="楷体_GB2312" w:hAnsi="楷体_GB2312" w:cs="楷体_GB2312"/>
          <w:sz w:val="24"/>
          <w:lang w:bidi="ar"/>
        </w:rPr>
        <w:t>“</w:t>
      </w:r>
      <w:r>
        <w:rPr>
          <w:rFonts w:ascii="楷体_GB2312" w:eastAsia="楷体_GB2312" w:hAnsi="楷体_GB2312" w:cs="楷体_GB2312"/>
          <w:sz w:val="24"/>
          <w:lang w:bidi="ar"/>
        </w:rPr>
        <w:t>不当行为</w:t>
      </w:r>
      <w:r>
        <w:rPr>
          <w:rFonts w:ascii="楷体_GB2312" w:eastAsia="楷体_GB2312" w:hAnsi="楷体_GB2312" w:cs="楷体_GB2312"/>
          <w:sz w:val="24"/>
          <w:lang w:bidi="ar"/>
        </w:rPr>
        <w:t>”</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sz w:val="24"/>
          <w:lang w:bidi="ar"/>
        </w:rPr>
        <w:t>湘潭大学</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谭姣</w:t>
      </w:r>
    </w:p>
    <w:p w:rsidR="002E67B1" w:rsidRDefault="009C088F">
      <w:pPr>
        <w:rPr>
          <w:rFonts w:ascii="楷体_GB2312" w:eastAsia="楷体_GB2312" w:hAnsi="楷体_GB2312" w:cs="楷体_GB2312"/>
          <w:sz w:val="24"/>
          <w:lang w:bidi="ar"/>
        </w:rPr>
      </w:pPr>
      <w:r>
        <w:rPr>
          <w:rFonts w:ascii="楷体_GB2312" w:eastAsia="楷体_GB2312" w:hAnsi="楷体_GB2312" w:cs="楷体_GB2312"/>
          <w:sz w:val="24"/>
          <w:lang w:bidi="ar"/>
        </w:rPr>
        <w:t>退休法官参与诉前调解的现状检视和完善方向</w:t>
      </w:r>
    </w:p>
    <w:p w:rsidR="002E67B1" w:rsidRDefault="009C088F">
      <w:pPr>
        <w:jc w:val="right"/>
        <w:rPr>
          <w:rFonts w:ascii="楷体_GB2312" w:eastAsia="楷体_GB2312" w:hAnsi="楷体_GB2312" w:cs="楷体_GB2312"/>
          <w:sz w:val="24"/>
          <w:lang w:bidi="ar"/>
        </w:rPr>
      </w:pPr>
      <w:r>
        <w:rPr>
          <w:rFonts w:ascii="楷体_GB2312" w:eastAsia="楷体_GB2312" w:hAnsi="楷体_GB2312" w:cs="楷体_GB2312"/>
          <w:sz w:val="24"/>
          <w:lang w:bidi="ar"/>
        </w:rPr>
        <w:t>湖南省法学会</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姚钟平月</w:t>
      </w:r>
    </w:p>
    <w:p w:rsidR="002E67B1" w:rsidRDefault="002E67B1">
      <w:pPr>
        <w:jc w:val="center"/>
        <w:rPr>
          <w:rFonts w:ascii="黑体" w:eastAsia="黑体" w:hAnsi="黑体" w:cs="黑体"/>
          <w:color w:val="FF0000"/>
          <w:sz w:val="48"/>
          <w:szCs w:val="48"/>
        </w:rPr>
      </w:pPr>
    </w:p>
    <w:p w:rsidR="002E67B1" w:rsidRDefault="009C088F">
      <w:pPr>
        <w:jc w:val="center"/>
        <w:rPr>
          <w:rFonts w:ascii="黑体" w:eastAsia="黑体" w:hAnsi="宋体"/>
          <w:b/>
          <w:bCs/>
          <w:sz w:val="44"/>
          <w:szCs w:val="44"/>
        </w:rPr>
      </w:pPr>
      <w:r>
        <w:rPr>
          <w:rFonts w:ascii="黑体" w:eastAsia="黑体" w:hAnsi="宋体" w:cs="黑体" w:hint="eastAsia"/>
          <w:b/>
          <w:bCs/>
          <w:sz w:val="44"/>
          <w:szCs w:val="44"/>
        </w:rPr>
        <w:t>三</w:t>
      </w:r>
      <w:r>
        <w:rPr>
          <w:rFonts w:ascii="黑体" w:eastAsia="黑体" w:hAnsi="宋体" w:cs="黑体"/>
          <w:b/>
          <w:bCs/>
          <w:sz w:val="44"/>
          <w:szCs w:val="44"/>
        </w:rPr>
        <w:t xml:space="preserve"> </w:t>
      </w:r>
      <w:r>
        <w:rPr>
          <w:rFonts w:ascii="黑体" w:eastAsia="黑体" w:hAnsi="宋体" w:cs="黑体" w:hint="eastAsia"/>
          <w:b/>
          <w:bCs/>
          <w:sz w:val="44"/>
          <w:szCs w:val="44"/>
        </w:rPr>
        <w:t>等</w:t>
      </w:r>
      <w:r>
        <w:rPr>
          <w:rFonts w:ascii="黑体" w:eastAsia="黑体" w:hAnsi="宋体" w:cs="黑体"/>
          <w:b/>
          <w:bCs/>
          <w:sz w:val="44"/>
          <w:szCs w:val="44"/>
        </w:rPr>
        <w:t xml:space="preserve"> </w:t>
      </w:r>
      <w:r>
        <w:rPr>
          <w:rFonts w:ascii="黑体" w:eastAsia="黑体" w:hAnsi="宋体" w:cs="黑体" w:hint="eastAsia"/>
          <w:b/>
          <w:bCs/>
          <w:sz w:val="44"/>
          <w:szCs w:val="44"/>
        </w:rPr>
        <w:t>奖</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区块链智能合约在未来执行中的应用及规则构建</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lastRenderedPageBreak/>
        <w:t>北京互联网法院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伊然</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熊志钢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张乃毓</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高层级法院提级审理制度构建的难点与突破——以具有普遍法律适用意义的案件为研究对象</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北京市第二中级人民法院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牛晓煜</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农村土地承包经营纠纷仲裁司法审查的乱象与规制——以审查规范的建构为进路</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北京市第三中级人民法院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王苗苗</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熊静</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环境公益诉讼中专家意见引入机制的规范与完善——基于现实引入模式的比较分析</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北京市第四中级人民法院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朱玲</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环境公益诉讼中请求权规范适用的检视与回归——基于对</w:t>
      </w:r>
      <w:r>
        <w:rPr>
          <w:rFonts w:ascii="楷体_GB2312" w:eastAsia="楷体_GB2312" w:hAnsi="楷体_GB2312" w:cs="楷体_GB2312" w:hint="eastAsia"/>
          <w:sz w:val="24"/>
        </w:rPr>
        <w:t>45</w:t>
      </w:r>
      <w:r>
        <w:rPr>
          <w:rFonts w:ascii="楷体_GB2312" w:eastAsia="楷体_GB2312" w:hAnsi="楷体_GB2312" w:cs="楷体_GB2312" w:hint="eastAsia"/>
          <w:sz w:val="24"/>
        </w:rPr>
        <w:t>份生效判决的分析</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北京市朝阳区人民法院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丁楠</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“结构</w:t>
      </w:r>
      <w:r>
        <w:rPr>
          <w:rFonts w:ascii="楷体_GB2312" w:eastAsia="楷体_GB2312" w:hAnsi="楷体_GB2312" w:cs="楷体_GB2312" w:hint="eastAsia"/>
          <w:sz w:val="24"/>
        </w:rPr>
        <w:t>-</w:t>
      </w:r>
      <w:r>
        <w:rPr>
          <w:rFonts w:ascii="楷体_GB2312" w:eastAsia="楷体_GB2312" w:hAnsi="楷体_GB2312" w:cs="楷体_GB2312" w:hint="eastAsia"/>
          <w:sz w:val="24"/>
        </w:rPr>
        <w:t>功能”视角：执行案件“分段”实施之探索——基于全国</w:t>
      </w:r>
      <w:r>
        <w:rPr>
          <w:rFonts w:ascii="楷体_GB2312" w:eastAsia="楷体_GB2312" w:hAnsi="楷体_GB2312" w:cs="楷体_GB2312" w:hint="eastAsia"/>
          <w:sz w:val="24"/>
        </w:rPr>
        <w:t>31</w:t>
      </w:r>
      <w:r>
        <w:rPr>
          <w:rFonts w:ascii="楷体_GB2312" w:eastAsia="楷体_GB2312" w:hAnsi="楷体_GB2312" w:cs="楷体_GB2312" w:hint="eastAsia"/>
          <w:sz w:val="24"/>
        </w:rPr>
        <w:t>家基层法院执行实践的考察</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北京市西城区人民法院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樊创</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民商事案件中自行委托鉴定的现状反思与制度构建——以某省</w:t>
      </w:r>
      <w:r>
        <w:rPr>
          <w:rFonts w:ascii="楷体_GB2312" w:eastAsia="楷体_GB2312" w:hAnsi="楷体_GB2312" w:cs="楷体_GB2312" w:hint="eastAsia"/>
          <w:sz w:val="24"/>
        </w:rPr>
        <w:t>183</w:t>
      </w:r>
      <w:r>
        <w:rPr>
          <w:rFonts w:ascii="楷体_GB2312" w:eastAsia="楷体_GB2312" w:hAnsi="楷体_GB2312" w:cs="楷体_GB2312" w:hint="eastAsia"/>
          <w:sz w:val="24"/>
        </w:rPr>
        <w:t>件案例为分析</w:t>
      </w:r>
      <w:r>
        <w:rPr>
          <w:rFonts w:ascii="楷体_GB2312" w:eastAsia="楷体_GB2312" w:hAnsi="楷体_GB2312" w:cs="楷体_GB2312" w:hint="eastAsia"/>
          <w:sz w:val="24"/>
        </w:rPr>
        <w:t>样本</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北京市第三中级人民法院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李迎新</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高明正</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风险防控视角下司法裁判中的后果考量问题——基于法条与后果的较量</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天津市第二中级人民法院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闫慧</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法治营商环境司法评估的体系建构及现实进路——以商事主体的司法感知为</w:t>
      </w:r>
      <w:r>
        <w:rPr>
          <w:rFonts w:ascii="楷体_GB2312" w:eastAsia="楷体_GB2312" w:hAnsi="楷体_GB2312" w:cs="楷体_GB2312" w:hint="eastAsia"/>
          <w:sz w:val="24"/>
        </w:rPr>
        <w:lastRenderedPageBreak/>
        <w:t>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天津市第二中级人民法院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马凤岗</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院庭长办案制度的检视与完善——以挂名办案为切入点</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天津市滨海新区人民法院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齐姗姗</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天津市高级人民法院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赵文艳</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套路贷案件风险防控路径探究——以刑民交叉案件的审理冲突为视角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天津市第二中级人民法院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纪文哲</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多元化纠纷解决机制下法院“大调解”模式续造</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天津市武清区人民法院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姜欣</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北京市第四中级人民法院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李振凡</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刑事二审新证据的界定与应用规则</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天津市第三中级人民法院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路诚</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天津市第二中级人民法院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张春颖</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检视与完善：案外人申请不予执行仲裁裁决制度实施效果评测</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天津市第一中级人民法院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刘翠翠</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中国国际贸易促进委员会</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孙子良</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从误解到理解：“执行不能”的可接受性问题研究——以某基层法院</w:t>
      </w:r>
      <w:r>
        <w:rPr>
          <w:rFonts w:ascii="楷体_GB2312" w:eastAsia="楷体_GB2312" w:hAnsi="楷体_GB2312" w:cs="楷体_GB2312" w:hint="eastAsia"/>
          <w:sz w:val="24"/>
        </w:rPr>
        <w:t>300</w:t>
      </w:r>
      <w:r>
        <w:rPr>
          <w:rFonts w:ascii="楷体_GB2312" w:eastAsia="楷体_GB2312" w:hAnsi="楷体_GB2312" w:cs="楷体_GB2312" w:hint="eastAsia"/>
          <w:sz w:val="24"/>
        </w:rPr>
        <w:t>件终本案件为例</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天津市东丽区人民法院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齐越</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行政诉讼裁判时机成熟的认定——以</w:t>
      </w:r>
      <w:r>
        <w:rPr>
          <w:rFonts w:ascii="楷体_GB2312" w:eastAsia="楷体_GB2312" w:hAnsi="楷体_GB2312" w:cs="楷体_GB2312" w:hint="eastAsia"/>
          <w:sz w:val="24"/>
        </w:rPr>
        <w:t>1</w:t>
      </w:r>
      <w:r>
        <w:rPr>
          <w:rFonts w:ascii="楷体_GB2312" w:eastAsia="楷体_GB2312" w:hAnsi="楷体_GB2312" w:cs="楷体_GB2312" w:hint="eastAsia"/>
          <w:sz w:val="24"/>
        </w:rPr>
        <w:t>个最高院的判例和</w:t>
      </w:r>
      <w:r>
        <w:rPr>
          <w:rFonts w:ascii="楷体_GB2312" w:eastAsia="楷体_GB2312" w:hAnsi="楷体_GB2312" w:cs="楷体_GB2312" w:hint="eastAsia"/>
          <w:sz w:val="24"/>
        </w:rPr>
        <w:t>256</w:t>
      </w:r>
      <w:r>
        <w:rPr>
          <w:rFonts w:ascii="楷体_GB2312" w:eastAsia="楷体_GB2312" w:hAnsi="楷体_GB2312" w:cs="楷体_GB2312" w:hint="eastAsia"/>
          <w:sz w:val="24"/>
        </w:rPr>
        <w:t>份履行法定职责</w:t>
      </w:r>
      <w:r>
        <w:rPr>
          <w:rFonts w:ascii="楷体_GB2312" w:eastAsia="楷体_GB2312" w:hAnsi="楷体_GB2312" w:cs="楷体_GB2312" w:hint="eastAsia"/>
          <w:sz w:val="24"/>
        </w:rPr>
        <w:t>判决书为视角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河北省涿州市人民法院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高娟</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lastRenderedPageBreak/>
        <w:t>四川省绵阳市安州区人民法院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刘怡</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人民法院新型审务管理体系研究——以资源配置为视角的观察</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河北省邢台市桥西区人民法院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张建颖</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授之以渔：人民法庭合理布局与功能优化方法论——以某市区人民法庭的波士顿矩阵实证分析为样本</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北京市大兴区人民法院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孙彪</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山西省高级人民法院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白婕</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张丽</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涉商业秘密政府信息公开案件中司法审查机制多元化格局重构——基于全国</w:t>
      </w:r>
      <w:r>
        <w:rPr>
          <w:rFonts w:ascii="楷体_GB2312" w:eastAsia="楷体_GB2312" w:hAnsi="楷体_GB2312" w:cs="楷体_GB2312" w:hint="eastAsia"/>
          <w:sz w:val="24"/>
        </w:rPr>
        <w:t>134</w:t>
      </w:r>
      <w:r>
        <w:rPr>
          <w:rFonts w:ascii="楷体_GB2312" w:eastAsia="楷体_GB2312" w:hAnsi="楷体_GB2312" w:cs="楷体_GB2312" w:hint="eastAsia"/>
          <w:sz w:val="24"/>
        </w:rPr>
        <w:t>份裁判文书样本的分析</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山西省高级人民法院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李强</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北京市昌平区人民法院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赵振杰</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看得见的正义：刑事案件当庭宣</w:t>
      </w:r>
      <w:r>
        <w:rPr>
          <w:rFonts w:ascii="楷体_GB2312" w:eastAsia="楷体_GB2312" w:hAnsi="楷体_GB2312" w:cs="楷体_GB2312" w:hint="eastAsia"/>
          <w:sz w:val="24"/>
        </w:rPr>
        <w:t>判制度的检视与修正——基于庭审实质化改革语境下的思考</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山西省晋城市中级人民法院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霍敏翔</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广东省广州市黄埔区人民法院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郑绿喃</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裁判文书中的法律与文学：从“一场误会”到“一见误终生”——以</w:t>
      </w:r>
      <w:r>
        <w:rPr>
          <w:rFonts w:ascii="楷体_GB2312" w:eastAsia="楷体_GB2312" w:hAnsi="楷体_GB2312" w:cs="楷体_GB2312" w:hint="eastAsia"/>
          <w:sz w:val="24"/>
        </w:rPr>
        <w:t>100</w:t>
      </w:r>
      <w:r>
        <w:rPr>
          <w:rFonts w:ascii="楷体_GB2312" w:eastAsia="楷体_GB2312" w:hAnsi="楷体_GB2312" w:cs="楷体_GB2312" w:hint="eastAsia"/>
          <w:sz w:val="24"/>
        </w:rPr>
        <w:t>份法官后语、判后语为积极修辞文本</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北京知识产权法院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张忠涛</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山西省高级人民法院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马云跃</w:t>
      </w:r>
    </w:p>
    <w:p w:rsidR="002E67B1" w:rsidRDefault="009C088F">
      <w:pPr>
        <w:rPr>
          <w:rFonts w:ascii="楷体_GB2312" w:eastAsia="楷体_GB2312" w:hAnsi="楷体_GB2312" w:cs="楷体_GB2312"/>
          <w:sz w:val="24"/>
        </w:rPr>
      </w:pPr>
      <w:r>
        <w:rPr>
          <w:rFonts w:ascii="楷体_GB2312" w:eastAsia="楷体_GB2312" w:hAnsi="楷体_GB2312" w:cs="楷体_GB2312"/>
          <w:sz w:val="24"/>
        </w:rPr>
        <w:t>社会协同视野下人民法庭参与基层乡村治理的路径探析</w:t>
      </w:r>
      <w:r>
        <w:rPr>
          <w:rFonts w:ascii="楷体_GB2312" w:eastAsia="楷体_GB2312" w:hAnsi="楷体_GB2312" w:cs="楷体_GB2312"/>
          <w:sz w:val="24"/>
        </w:rPr>
        <w:t>——</w:t>
      </w:r>
      <w:r>
        <w:rPr>
          <w:rFonts w:ascii="楷体_GB2312" w:eastAsia="楷体_GB2312" w:hAnsi="楷体_GB2312" w:cs="楷体_GB2312"/>
          <w:sz w:val="24"/>
        </w:rPr>
        <w:t>以</w:t>
      </w:r>
      <w:r>
        <w:rPr>
          <w:rFonts w:ascii="楷体_GB2312" w:eastAsia="楷体_GB2312" w:hAnsi="楷体_GB2312" w:cs="楷体_GB2312"/>
          <w:sz w:val="24"/>
        </w:rPr>
        <w:t>A</w:t>
      </w:r>
      <w:r>
        <w:rPr>
          <w:rFonts w:ascii="楷体_GB2312" w:eastAsia="楷体_GB2312" w:hAnsi="楷体_GB2312" w:cs="楷体_GB2312"/>
          <w:sz w:val="24"/>
        </w:rPr>
        <w:t>区人民法院</w:t>
      </w:r>
      <w:r>
        <w:rPr>
          <w:rFonts w:ascii="楷体_GB2312" w:eastAsia="楷体_GB2312" w:hAnsi="楷体_GB2312" w:cs="楷体_GB2312"/>
          <w:sz w:val="24"/>
        </w:rPr>
        <w:t>B</w:t>
      </w:r>
      <w:r>
        <w:rPr>
          <w:rFonts w:ascii="楷体_GB2312" w:eastAsia="楷体_GB2312" w:hAnsi="楷体_GB2312" w:cs="楷体_GB2312"/>
          <w:sz w:val="24"/>
        </w:rPr>
        <w:t>人民法庭</w:t>
      </w:r>
      <w:r>
        <w:rPr>
          <w:rFonts w:ascii="楷体_GB2312" w:eastAsia="楷体_GB2312" w:hAnsi="楷体_GB2312" w:cs="楷体_GB2312"/>
          <w:sz w:val="24"/>
        </w:rPr>
        <w:t>“</w:t>
      </w:r>
      <w:r>
        <w:rPr>
          <w:rFonts w:ascii="楷体_GB2312" w:eastAsia="楷体_GB2312" w:hAnsi="楷体_GB2312" w:cs="楷体_GB2312"/>
          <w:sz w:val="24"/>
        </w:rPr>
        <w:t>无诉讼村</w:t>
      </w:r>
      <w:r>
        <w:rPr>
          <w:rFonts w:ascii="楷体_GB2312" w:eastAsia="楷体_GB2312" w:hAnsi="楷体_GB2312" w:cs="楷体_GB2312"/>
          <w:sz w:val="24"/>
        </w:rPr>
        <w:t>”</w:t>
      </w:r>
      <w:r>
        <w:rPr>
          <w:rFonts w:ascii="楷体_GB2312" w:eastAsia="楷体_GB2312" w:hAnsi="楷体_GB2312" w:cs="楷体_GB2312"/>
          <w:sz w:val="24"/>
        </w:rPr>
        <w:t>创建实践为调研样本</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内蒙古自治区呼伦贝尔市中级人民法院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毅茹罕</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lastRenderedPageBreak/>
        <w:t>北京市房山区人民法院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宁继清</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王俊伟</w:t>
      </w:r>
    </w:p>
    <w:p w:rsidR="002E67B1" w:rsidRDefault="009C088F">
      <w:pPr>
        <w:rPr>
          <w:rFonts w:ascii="楷体_GB2312" w:eastAsia="楷体_GB2312" w:hAnsi="楷体_GB2312" w:cs="楷体_GB2312"/>
          <w:sz w:val="24"/>
        </w:rPr>
      </w:pPr>
      <w:r>
        <w:rPr>
          <w:rFonts w:ascii="楷体_GB2312" w:eastAsia="楷体_GB2312" w:hAnsi="楷体_GB2312" w:cs="楷体_GB2312"/>
          <w:sz w:val="24"/>
        </w:rPr>
        <w:t>从</w:t>
      </w:r>
      <w:r>
        <w:rPr>
          <w:rFonts w:ascii="楷体_GB2312" w:eastAsia="楷体_GB2312" w:hAnsi="楷体_GB2312" w:cs="楷体_GB2312"/>
          <w:sz w:val="24"/>
        </w:rPr>
        <w:t>“</w:t>
      </w:r>
      <w:r>
        <w:rPr>
          <w:rFonts w:ascii="楷体_GB2312" w:eastAsia="楷体_GB2312" w:hAnsi="楷体_GB2312" w:cs="楷体_GB2312"/>
          <w:sz w:val="24"/>
        </w:rPr>
        <w:t>人定</w:t>
      </w:r>
      <w:r>
        <w:rPr>
          <w:rFonts w:ascii="楷体_GB2312" w:eastAsia="楷体_GB2312" w:hAnsi="楷体_GB2312" w:cs="楷体_GB2312"/>
          <w:sz w:val="24"/>
        </w:rPr>
        <w:t>”</w:t>
      </w:r>
      <w:r>
        <w:rPr>
          <w:rFonts w:ascii="楷体_GB2312" w:eastAsia="楷体_GB2312" w:hAnsi="楷体_GB2312" w:cs="楷体_GB2312"/>
          <w:sz w:val="24"/>
        </w:rPr>
        <w:t>到</w:t>
      </w:r>
      <w:r>
        <w:rPr>
          <w:rFonts w:ascii="楷体_GB2312" w:eastAsia="楷体_GB2312" w:hAnsi="楷体_GB2312" w:cs="楷体_GB2312"/>
          <w:sz w:val="24"/>
        </w:rPr>
        <w:t>“</w:t>
      </w:r>
      <w:r>
        <w:rPr>
          <w:rFonts w:ascii="楷体_GB2312" w:eastAsia="楷体_GB2312" w:hAnsi="楷体_GB2312" w:cs="楷体_GB2312"/>
          <w:sz w:val="24"/>
        </w:rPr>
        <w:t>案定</w:t>
      </w:r>
      <w:r>
        <w:rPr>
          <w:rFonts w:ascii="楷体_GB2312" w:eastAsia="楷体_GB2312" w:hAnsi="楷体_GB2312" w:cs="楷体_GB2312"/>
          <w:sz w:val="24"/>
        </w:rPr>
        <w:t>”</w:t>
      </w:r>
      <w:r>
        <w:rPr>
          <w:rFonts w:ascii="楷体_GB2312" w:eastAsia="楷体_GB2312" w:hAnsi="楷体_GB2312" w:cs="楷体_GB2312"/>
          <w:sz w:val="24"/>
        </w:rPr>
        <w:t>：审判长产生模式的重构</w:t>
      </w:r>
      <w:r>
        <w:rPr>
          <w:rFonts w:ascii="楷体_GB2312" w:eastAsia="楷体_GB2312" w:hAnsi="楷体_GB2312" w:cs="楷体_GB2312"/>
          <w:sz w:val="24"/>
        </w:rPr>
        <w:t>——</w:t>
      </w:r>
      <w:r>
        <w:rPr>
          <w:rFonts w:ascii="楷体_GB2312" w:eastAsia="楷体_GB2312" w:hAnsi="楷体_GB2312" w:cs="楷体_GB2312"/>
          <w:sz w:val="24"/>
        </w:rPr>
        <w:t>以司法责任制改革为背景的展开</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内蒙古自治区呼伦贝尔市中级人民法院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张静超</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北京市房山区人民法院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陈艳飞</w:t>
      </w:r>
      <w:r>
        <w:rPr>
          <w:rFonts w:ascii="楷体_GB2312" w:eastAsia="楷体_GB2312" w:hAnsi="楷体_GB2312" w:cs="楷体_GB2312" w:hint="eastAsia"/>
          <w:sz w:val="24"/>
        </w:rPr>
        <w:t xml:space="preserve"> </w:t>
      </w:r>
    </w:p>
    <w:p w:rsidR="002E67B1" w:rsidRDefault="009C088F">
      <w:pPr>
        <w:rPr>
          <w:rFonts w:ascii="楷体_GB2312" w:eastAsia="楷体_GB2312" w:hAnsi="楷体_GB2312" w:cs="楷体_GB2312"/>
          <w:sz w:val="24"/>
        </w:rPr>
      </w:pPr>
      <w:r>
        <w:rPr>
          <w:rFonts w:ascii="楷体_GB2312" w:eastAsia="楷体_GB2312" w:hAnsi="楷体_GB2312" w:cs="楷体_GB2312"/>
          <w:sz w:val="24"/>
        </w:rPr>
        <w:t>从</w:t>
      </w:r>
      <w:r>
        <w:rPr>
          <w:rFonts w:ascii="楷体_GB2312" w:eastAsia="楷体_GB2312" w:hAnsi="楷体_GB2312" w:cs="楷体_GB2312"/>
          <w:sz w:val="24"/>
        </w:rPr>
        <w:t>“</w:t>
      </w:r>
      <w:r>
        <w:rPr>
          <w:rFonts w:ascii="楷体_GB2312" w:eastAsia="楷体_GB2312" w:hAnsi="楷体_GB2312" w:cs="楷体_GB2312"/>
          <w:sz w:val="24"/>
        </w:rPr>
        <w:t>层级考核</w:t>
      </w:r>
      <w:r>
        <w:rPr>
          <w:rFonts w:ascii="楷体_GB2312" w:eastAsia="楷体_GB2312" w:hAnsi="楷体_GB2312" w:cs="楷体_GB2312"/>
          <w:sz w:val="24"/>
        </w:rPr>
        <w:t>”</w:t>
      </w:r>
      <w:r>
        <w:rPr>
          <w:rFonts w:ascii="楷体_GB2312" w:eastAsia="楷体_GB2312" w:hAnsi="楷体_GB2312" w:cs="楷体_GB2312"/>
          <w:sz w:val="24"/>
        </w:rPr>
        <w:t>到</w:t>
      </w:r>
      <w:r>
        <w:rPr>
          <w:rFonts w:ascii="楷体_GB2312" w:eastAsia="楷体_GB2312" w:hAnsi="楷体_GB2312" w:cs="楷体_GB2312"/>
          <w:sz w:val="24"/>
        </w:rPr>
        <w:t>“</w:t>
      </w:r>
      <w:r>
        <w:rPr>
          <w:rFonts w:ascii="楷体_GB2312" w:eastAsia="楷体_GB2312" w:hAnsi="楷体_GB2312" w:cs="楷体_GB2312"/>
          <w:sz w:val="24"/>
        </w:rPr>
        <w:t>单元管理</w:t>
      </w:r>
      <w:r>
        <w:rPr>
          <w:rFonts w:ascii="楷体_GB2312" w:eastAsia="楷体_GB2312" w:hAnsi="楷体_GB2312" w:cs="楷体_GB2312"/>
          <w:sz w:val="24"/>
        </w:rPr>
        <w:t>”</w:t>
      </w:r>
      <w:r>
        <w:rPr>
          <w:rFonts w:ascii="楷体_GB2312" w:eastAsia="楷体_GB2312" w:hAnsi="楷体_GB2312" w:cs="楷体_GB2312"/>
          <w:sz w:val="24"/>
        </w:rPr>
        <w:t>：审判团队绩效管理体系研究</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内蒙古自治区兴安盟中级人民法院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张明</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北京市第一中级人民法院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崔丹妮</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宁韬</w:t>
      </w:r>
    </w:p>
    <w:p w:rsidR="002E67B1" w:rsidRDefault="009C088F">
      <w:pPr>
        <w:rPr>
          <w:rFonts w:ascii="楷体_GB2312" w:eastAsia="楷体_GB2312" w:hAnsi="楷体_GB2312" w:cs="楷体_GB2312"/>
          <w:sz w:val="24"/>
        </w:rPr>
      </w:pPr>
      <w:r>
        <w:rPr>
          <w:rFonts w:ascii="楷体_GB2312" w:eastAsia="楷体_GB2312" w:hAnsi="楷体_GB2312" w:cs="楷体_GB2312"/>
          <w:sz w:val="24"/>
        </w:rPr>
        <w:t>生态环境损害赔偿案件的公、私益诉讼整合</w:t>
      </w:r>
      <w:r>
        <w:rPr>
          <w:rFonts w:ascii="楷体_GB2312" w:eastAsia="楷体_GB2312" w:hAnsi="楷体_GB2312" w:cs="楷体_GB2312"/>
          <w:sz w:val="24"/>
        </w:rPr>
        <w:t>——“</w:t>
      </w:r>
      <w:r>
        <w:rPr>
          <w:rFonts w:ascii="楷体_GB2312" w:eastAsia="楷体_GB2312" w:hAnsi="楷体_GB2312" w:cs="楷体_GB2312"/>
          <w:sz w:val="24"/>
        </w:rPr>
        <w:t>二元性</w:t>
      </w:r>
      <w:r>
        <w:rPr>
          <w:rFonts w:ascii="楷体_GB2312" w:eastAsia="楷体_GB2312" w:hAnsi="楷体_GB2312" w:cs="楷体_GB2312"/>
          <w:sz w:val="24"/>
        </w:rPr>
        <w:t>”</w:t>
      </w:r>
      <w:r>
        <w:rPr>
          <w:rFonts w:ascii="楷体_GB2312" w:eastAsia="楷体_GB2312" w:hAnsi="楷体_GB2312" w:cs="楷体_GB2312"/>
          <w:sz w:val="24"/>
        </w:rPr>
        <w:t>视角下的实证分析</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辽宁省铁岭市中级人民法院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李雪莹</w:t>
      </w:r>
      <w:r>
        <w:rPr>
          <w:rFonts w:ascii="楷体_GB2312" w:eastAsia="楷体_GB2312" w:hAnsi="楷体_GB2312" w:cs="楷体_GB2312"/>
          <w:sz w:val="24"/>
        </w:rPr>
        <w:t xml:space="preserve">  </w:t>
      </w:r>
      <w:r>
        <w:rPr>
          <w:rFonts w:ascii="楷体_GB2312" w:eastAsia="楷体_GB2312" w:hAnsi="楷体_GB2312" w:cs="楷体_GB2312"/>
          <w:sz w:val="24"/>
        </w:rPr>
        <w:t>王璐</w:t>
      </w:r>
    </w:p>
    <w:p w:rsidR="002E67B1" w:rsidRDefault="009C088F">
      <w:pPr>
        <w:rPr>
          <w:rFonts w:ascii="楷体_GB2312" w:eastAsia="楷体_GB2312" w:hAnsi="楷体_GB2312" w:cs="楷体_GB2312"/>
          <w:sz w:val="24"/>
        </w:rPr>
      </w:pPr>
      <w:r>
        <w:rPr>
          <w:rFonts w:ascii="楷体_GB2312" w:eastAsia="楷体_GB2312" w:hAnsi="楷体_GB2312" w:cs="楷体_GB2312"/>
          <w:sz w:val="24"/>
        </w:rPr>
        <w:t>论生态环境损害赔偿诉讼中鉴定意见之采信</w:t>
      </w:r>
      <w:r>
        <w:rPr>
          <w:rFonts w:ascii="楷体_GB2312" w:eastAsia="楷体_GB2312" w:hAnsi="楷体_GB2312" w:cs="楷体_GB2312"/>
          <w:sz w:val="24"/>
        </w:rPr>
        <w:t>——</w:t>
      </w:r>
      <w:r>
        <w:rPr>
          <w:rFonts w:ascii="楷体_GB2312" w:eastAsia="楷体_GB2312" w:hAnsi="楷体_GB2312" w:cs="楷体_GB2312"/>
          <w:sz w:val="24"/>
        </w:rPr>
        <w:t>以要件事实证明标准的数学模型为视角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辽宁省营口市中级人民法院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 xml:space="preserve"> </w:t>
      </w:r>
      <w:r>
        <w:rPr>
          <w:rFonts w:ascii="楷体_GB2312" w:eastAsia="楷体_GB2312" w:hAnsi="楷体_GB2312" w:cs="楷体_GB2312"/>
          <w:sz w:val="24"/>
        </w:rPr>
        <w:t>刘佳庆</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环境公益诉讼疑难问题研究</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吉林省白城市中级人民法院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王子瑜</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司法责任制中执行法官责任追究问题初探</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北京市门头沟区人民法院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华珍</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黑龙江省绥化市中级人民法院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王婧</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黑龙江省高级人民法院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王欢</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论集资类刑事案件涉案财产处置规则的完善——以“刑民交叉”问题的解决为视角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黑龙江省高级人民法院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高文军</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lastRenderedPageBreak/>
        <w:t>北京市朝阳区人民法院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郝庆进</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李金雷</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行政审判率先实行有限三审终审制的理性思辨及制度构建——以统一法律适用和诉讼功能的实现为视角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北京市延庆区人民法院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王芹</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黑龙江省高级人民法院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奚萌萌</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鲁岩</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“特别程序</w:t>
      </w:r>
      <w:r>
        <w:rPr>
          <w:rFonts w:ascii="楷体_GB2312" w:eastAsia="楷体_GB2312" w:hAnsi="楷体_GB2312" w:cs="楷体_GB2312" w:hint="eastAsia"/>
          <w:sz w:val="24"/>
        </w:rPr>
        <w:t>+</w:t>
      </w:r>
      <w:r>
        <w:rPr>
          <w:rFonts w:ascii="楷体_GB2312" w:eastAsia="楷体_GB2312" w:hAnsi="楷体_GB2312" w:cs="楷体_GB2312" w:hint="eastAsia"/>
          <w:sz w:val="24"/>
        </w:rPr>
        <w:t>复议”</w:t>
      </w:r>
      <w:r>
        <w:rPr>
          <w:rFonts w:ascii="楷体_GB2312" w:eastAsia="楷体_GB2312" w:hAnsi="楷体_GB2312" w:cs="楷体_GB2312" w:hint="eastAsia"/>
          <w:sz w:val="24"/>
        </w:rPr>
        <w:t>:</w:t>
      </w:r>
      <w:r>
        <w:rPr>
          <w:rFonts w:ascii="楷体_GB2312" w:eastAsia="楷体_GB2312" w:hAnsi="楷体_GB2312" w:cs="楷体_GB2312" w:hint="eastAsia"/>
          <w:sz w:val="24"/>
        </w:rPr>
        <w:t>司法确认案件中案外人救济现状及程序构建——程序保障视角下的实证分析</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北京市朝阳区人民法院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高世华</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黑龙江省哈尔滨市中级人民法院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赵敏</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奚文胜</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土地非诉行政执行案件审查标准的反思与重构</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黑龙江省牡丹江市爱民区人民法院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王俭</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黑龙江省牡丹江市中级人民法院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蒋利龙</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审慎愈治：执行程序瑕疵纠错补正的验检和规制</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广东省佛山市南海区人民法院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何键</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黑龙江省哈尔滨市中级人民法院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赵敏</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奚文胜</w:t>
      </w:r>
    </w:p>
    <w:p w:rsidR="002E67B1" w:rsidRDefault="009C088F">
      <w:pPr>
        <w:rPr>
          <w:rFonts w:ascii="楷体_GB2312" w:eastAsia="楷体_GB2312" w:hAnsi="楷体_GB2312" w:cs="楷体_GB2312"/>
          <w:sz w:val="24"/>
        </w:rPr>
      </w:pPr>
      <w:r>
        <w:rPr>
          <w:rFonts w:ascii="楷体_GB2312" w:eastAsia="楷体_GB2312" w:hAnsi="楷体_GB2312" w:cs="楷体_GB2312"/>
          <w:sz w:val="24"/>
        </w:rPr>
        <w:t>迈向回应型司法：人民法院应对舆情的路径选择</w:t>
      </w:r>
      <w:r>
        <w:rPr>
          <w:rFonts w:ascii="楷体_GB2312" w:eastAsia="楷体_GB2312" w:hAnsi="楷体_GB2312" w:cs="楷体_GB2312"/>
          <w:sz w:val="24"/>
        </w:rPr>
        <w:t>——</w:t>
      </w:r>
      <w:r>
        <w:rPr>
          <w:rFonts w:ascii="楷体_GB2312" w:eastAsia="楷体_GB2312" w:hAnsi="楷体_GB2312" w:cs="楷体_GB2312"/>
          <w:sz w:val="24"/>
        </w:rPr>
        <w:t>基于近五</w:t>
      </w:r>
      <w:r>
        <w:rPr>
          <w:rFonts w:ascii="楷体_GB2312" w:eastAsia="楷体_GB2312" w:hAnsi="楷体_GB2312" w:cs="楷体_GB2312"/>
          <w:sz w:val="24"/>
        </w:rPr>
        <w:t>年</w:t>
      </w:r>
      <w:r>
        <w:rPr>
          <w:rFonts w:ascii="楷体_GB2312" w:eastAsia="楷体_GB2312" w:hAnsi="楷体_GB2312" w:cs="楷体_GB2312"/>
          <w:sz w:val="24"/>
        </w:rPr>
        <w:t>“</w:t>
      </w:r>
      <w:r>
        <w:rPr>
          <w:rFonts w:ascii="楷体_GB2312" w:eastAsia="楷体_GB2312" w:hAnsi="楷体_GB2312" w:cs="楷体_GB2312"/>
          <w:sz w:val="24"/>
        </w:rPr>
        <w:t>人民法院十大刑事案件</w:t>
      </w:r>
      <w:r>
        <w:rPr>
          <w:rFonts w:ascii="楷体_GB2312" w:eastAsia="楷体_GB2312" w:hAnsi="楷体_GB2312" w:cs="楷体_GB2312"/>
          <w:sz w:val="24"/>
        </w:rPr>
        <w:t>”</w:t>
      </w:r>
      <w:r>
        <w:rPr>
          <w:rFonts w:ascii="楷体_GB2312" w:eastAsia="楷体_GB2312" w:hAnsi="楷体_GB2312" w:cs="楷体_GB2312"/>
          <w:sz w:val="24"/>
        </w:rPr>
        <w:t>的考察</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上海市黄浦区人民法院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郭延风</w:t>
      </w:r>
      <w:r>
        <w:rPr>
          <w:rFonts w:ascii="楷体_GB2312" w:eastAsia="楷体_GB2312" w:hAnsi="楷体_GB2312" w:cs="楷体_GB2312"/>
          <w:sz w:val="24"/>
        </w:rPr>
        <w:t xml:space="preserve">  </w:t>
      </w:r>
      <w:r>
        <w:rPr>
          <w:rFonts w:ascii="楷体_GB2312" w:eastAsia="楷体_GB2312" w:hAnsi="楷体_GB2312" w:cs="楷体_GB2312"/>
          <w:sz w:val="24"/>
        </w:rPr>
        <w:t>贾文超</w:t>
      </w:r>
    </w:p>
    <w:p w:rsidR="002E67B1" w:rsidRDefault="009C088F">
      <w:pPr>
        <w:rPr>
          <w:rFonts w:ascii="楷体_GB2312" w:eastAsia="楷体_GB2312" w:hAnsi="楷体_GB2312" w:cs="楷体_GB2312"/>
          <w:sz w:val="24"/>
        </w:rPr>
      </w:pPr>
      <w:r>
        <w:rPr>
          <w:rFonts w:ascii="楷体_GB2312" w:eastAsia="楷体_GB2312" w:hAnsi="楷体_GB2312" w:cs="楷体_GB2312"/>
          <w:sz w:val="24"/>
        </w:rPr>
        <w:t>困境与出路：类案识别的理性建构</w:t>
      </w:r>
      <w:r>
        <w:rPr>
          <w:rFonts w:ascii="楷体_GB2312" w:eastAsia="楷体_GB2312" w:hAnsi="楷体_GB2312" w:cs="楷体_GB2312"/>
          <w:sz w:val="24"/>
        </w:rPr>
        <w:t>——</w:t>
      </w:r>
      <w:r>
        <w:rPr>
          <w:rFonts w:ascii="楷体_GB2312" w:eastAsia="楷体_GB2312" w:hAnsi="楷体_GB2312" w:cs="楷体_GB2312"/>
          <w:sz w:val="24"/>
        </w:rPr>
        <w:t>以人民法院审判管理为视角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上海市第一中级人民法院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宋虹</w:t>
      </w:r>
    </w:p>
    <w:p w:rsidR="002E67B1" w:rsidRDefault="009C088F">
      <w:pPr>
        <w:rPr>
          <w:rFonts w:ascii="楷体_GB2312" w:eastAsia="楷体_GB2312" w:hAnsi="楷体_GB2312" w:cs="楷体_GB2312"/>
          <w:sz w:val="24"/>
        </w:rPr>
      </w:pPr>
      <w:r>
        <w:rPr>
          <w:rFonts w:ascii="楷体_GB2312" w:eastAsia="楷体_GB2312" w:hAnsi="楷体_GB2312" w:cs="楷体_GB2312"/>
          <w:sz w:val="24"/>
        </w:rPr>
        <w:t>论我国金融法院的职能定位及职权配置</w:t>
      </w:r>
      <w:r>
        <w:rPr>
          <w:rFonts w:ascii="楷体_GB2312" w:eastAsia="楷体_GB2312" w:hAnsi="楷体_GB2312" w:cs="楷体_GB2312"/>
          <w:sz w:val="24"/>
        </w:rPr>
        <w:t>——</w:t>
      </w:r>
      <w:r>
        <w:rPr>
          <w:rFonts w:ascii="楷体_GB2312" w:eastAsia="楷体_GB2312" w:hAnsi="楷体_GB2312" w:cs="楷体_GB2312"/>
          <w:sz w:val="24"/>
        </w:rPr>
        <w:t>以上海金融法院为视角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上海金融法院</w:t>
      </w:r>
      <w:r>
        <w:rPr>
          <w:rFonts w:ascii="楷体_GB2312" w:eastAsia="楷体_GB2312" w:hAnsi="楷体_GB2312" w:cs="楷体_GB2312" w:hint="eastAsia"/>
          <w:sz w:val="24"/>
        </w:rPr>
        <w:t xml:space="preserve">  </w:t>
      </w:r>
      <w:r>
        <w:rPr>
          <w:rFonts w:ascii="楷体_GB2312" w:eastAsia="楷体_GB2312" w:hAnsi="楷体_GB2312" w:cs="楷体_GB2312"/>
          <w:sz w:val="24"/>
        </w:rPr>
        <w:t>葛少帅</w:t>
      </w:r>
    </w:p>
    <w:p w:rsidR="002E67B1" w:rsidRDefault="009C088F">
      <w:pPr>
        <w:rPr>
          <w:rFonts w:ascii="楷体_GB2312" w:eastAsia="楷体_GB2312" w:hAnsi="楷体_GB2312" w:cs="楷体_GB2312"/>
          <w:sz w:val="24"/>
        </w:rPr>
      </w:pPr>
      <w:r>
        <w:rPr>
          <w:rFonts w:ascii="楷体_GB2312" w:eastAsia="楷体_GB2312" w:hAnsi="楷体_GB2312" w:cs="楷体_GB2312"/>
          <w:sz w:val="24"/>
        </w:rPr>
        <w:lastRenderedPageBreak/>
        <w:t>法社会学范式下审委会专业委员会表决机制的检视</w:t>
      </w:r>
      <w:r>
        <w:rPr>
          <w:rFonts w:ascii="楷体_GB2312" w:eastAsia="楷体_GB2312" w:hAnsi="楷体_GB2312" w:cs="楷体_GB2312"/>
          <w:sz w:val="24"/>
        </w:rPr>
        <w:t>——</w:t>
      </w:r>
      <w:r>
        <w:rPr>
          <w:rFonts w:ascii="楷体_GB2312" w:eastAsia="楷体_GB2312" w:hAnsi="楷体_GB2312" w:cs="楷体_GB2312"/>
          <w:sz w:val="24"/>
        </w:rPr>
        <w:t>基于群体决策理论对</w:t>
      </w:r>
      <w:r>
        <w:rPr>
          <w:rFonts w:ascii="楷体_GB2312" w:eastAsia="楷体_GB2312" w:hAnsi="楷体_GB2312" w:cs="楷体_GB2312"/>
          <w:sz w:val="24"/>
        </w:rPr>
        <w:t>16</w:t>
      </w:r>
      <w:r>
        <w:rPr>
          <w:rFonts w:ascii="楷体_GB2312" w:eastAsia="楷体_GB2312" w:hAnsi="楷体_GB2312" w:cs="楷体_GB2312"/>
          <w:sz w:val="24"/>
        </w:rPr>
        <w:t>份改革样本的实证分析</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上海市第一中级人民法院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徐文进</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上海市杨浦区人民法院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姚竞燕</w:t>
      </w:r>
    </w:p>
    <w:p w:rsidR="002E67B1" w:rsidRDefault="009C088F">
      <w:pPr>
        <w:rPr>
          <w:rFonts w:ascii="楷体_GB2312" w:eastAsia="楷体_GB2312" w:hAnsi="楷体_GB2312" w:cs="楷体_GB2312"/>
          <w:sz w:val="24"/>
        </w:rPr>
      </w:pPr>
      <w:r>
        <w:rPr>
          <w:rFonts w:ascii="楷体_GB2312" w:eastAsia="楷体_GB2312" w:hAnsi="楷体_GB2312" w:cs="楷体_GB2312"/>
          <w:sz w:val="24"/>
        </w:rPr>
        <w:t>“</w:t>
      </w:r>
      <w:r>
        <w:rPr>
          <w:rFonts w:ascii="楷体_GB2312" w:eastAsia="楷体_GB2312" w:hAnsi="楷体_GB2312" w:cs="楷体_GB2312"/>
          <w:sz w:val="24"/>
        </w:rPr>
        <w:t>咨询制度</w:t>
      </w:r>
      <w:r>
        <w:rPr>
          <w:rFonts w:ascii="楷体_GB2312" w:eastAsia="楷体_GB2312" w:hAnsi="楷体_GB2312" w:cs="楷体_GB2312"/>
          <w:sz w:val="24"/>
        </w:rPr>
        <w:t>”</w:t>
      </w:r>
      <w:r>
        <w:rPr>
          <w:rFonts w:ascii="楷体_GB2312" w:eastAsia="楷体_GB2312" w:hAnsi="楷体_GB2312" w:cs="楷体_GB2312"/>
          <w:sz w:val="24"/>
        </w:rPr>
        <w:t>语境下专业法官会议的价值回归</w:t>
      </w:r>
      <w:r>
        <w:rPr>
          <w:rFonts w:ascii="楷体_GB2312" w:eastAsia="楷体_GB2312" w:hAnsi="楷体_GB2312" w:cs="楷体_GB2312"/>
          <w:sz w:val="24"/>
        </w:rPr>
        <w:t>——</w:t>
      </w:r>
      <w:r>
        <w:rPr>
          <w:rFonts w:ascii="楷体_GB2312" w:eastAsia="楷体_GB2312" w:hAnsi="楷体_GB2312" w:cs="楷体_GB2312"/>
          <w:sz w:val="24"/>
        </w:rPr>
        <w:t>以</w:t>
      </w:r>
      <w:r>
        <w:rPr>
          <w:rFonts w:ascii="楷体_GB2312" w:eastAsia="楷体_GB2312" w:hAnsi="楷体_GB2312" w:cs="楷体_GB2312"/>
          <w:sz w:val="24"/>
        </w:rPr>
        <w:t>S</w:t>
      </w:r>
      <w:r>
        <w:rPr>
          <w:rFonts w:ascii="楷体_GB2312" w:eastAsia="楷体_GB2312" w:hAnsi="楷体_GB2312" w:cs="楷体_GB2312"/>
          <w:sz w:val="24"/>
        </w:rPr>
        <w:t>市</w:t>
      </w:r>
      <w:r>
        <w:rPr>
          <w:rFonts w:ascii="楷体_GB2312" w:eastAsia="楷体_GB2312" w:hAnsi="楷体_GB2312" w:cs="楷体_GB2312"/>
          <w:sz w:val="24"/>
        </w:rPr>
        <w:t>1195</w:t>
      </w:r>
      <w:r>
        <w:rPr>
          <w:rFonts w:ascii="楷体_GB2312" w:eastAsia="楷体_GB2312" w:hAnsi="楷体_GB2312" w:cs="楷体_GB2312"/>
          <w:sz w:val="24"/>
        </w:rPr>
        <w:t>件专业法官会议为分析蓝本</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上海市金山区人民法</w:t>
      </w:r>
      <w:r>
        <w:rPr>
          <w:rFonts w:ascii="楷体_GB2312" w:eastAsia="楷体_GB2312" w:hAnsi="楷体_GB2312" w:cs="楷体_GB2312"/>
          <w:sz w:val="24"/>
        </w:rPr>
        <w:t>院</w:t>
      </w:r>
      <w:r>
        <w:rPr>
          <w:rFonts w:ascii="楷体_GB2312" w:eastAsia="楷体_GB2312" w:hAnsi="楷体_GB2312" w:cs="楷体_GB2312" w:hint="eastAsia"/>
          <w:sz w:val="24"/>
        </w:rPr>
        <w:t xml:space="preserve">  </w:t>
      </w:r>
      <w:r>
        <w:rPr>
          <w:rFonts w:ascii="楷体_GB2312" w:eastAsia="楷体_GB2312" w:hAnsi="楷体_GB2312" w:cs="楷体_GB2312"/>
          <w:sz w:val="24"/>
        </w:rPr>
        <w:t>王晓慧</w:t>
      </w:r>
    </w:p>
    <w:p w:rsidR="002E67B1" w:rsidRDefault="009C088F">
      <w:pPr>
        <w:rPr>
          <w:rFonts w:ascii="楷体_GB2312" w:eastAsia="楷体_GB2312" w:hAnsi="楷体_GB2312" w:cs="楷体_GB2312"/>
          <w:sz w:val="24"/>
        </w:rPr>
      </w:pPr>
      <w:r>
        <w:rPr>
          <w:rFonts w:ascii="楷体_GB2312" w:eastAsia="楷体_GB2312" w:hAnsi="楷体_GB2312" w:cs="楷体_GB2312"/>
          <w:sz w:val="24"/>
        </w:rPr>
        <w:t>解纷的艺术：法院调解工作中的社会心理探析</w:t>
      </w:r>
      <w:r>
        <w:rPr>
          <w:rFonts w:ascii="楷体_GB2312" w:eastAsia="楷体_GB2312" w:hAnsi="楷体_GB2312" w:cs="楷体_GB2312"/>
          <w:sz w:val="24"/>
        </w:rPr>
        <w:t>——</w:t>
      </w:r>
      <w:r>
        <w:rPr>
          <w:rFonts w:ascii="楷体_GB2312" w:eastAsia="楷体_GB2312" w:hAnsi="楷体_GB2312" w:cs="楷体_GB2312"/>
          <w:sz w:val="24"/>
        </w:rPr>
        <w:t>以某直辖市中院诉讼调解实践为样本</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上海市第二中级人民法院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王宗光</w:t>
      </w:r>
      <w:r>
        <w:rPr>
          <w:rFonts w:ascii="楷体_GB2312" w:eastAsia="楷体_GB2312" w:hAnsi="楷体_GB2312" w:cs="楷体_GB2312"/>
          <w:sz w:val="24"/>
        </w:rPr>
        <w:t xml:space="preserve">  </w:t>
      </w:r>
      <w:r>
        <w:rPr>
          <w:rFonts w:ascii="楷体_GB2312" w:eastAsia="楷体_GB2312" w:hAnsi="楷体_GB2312" w:cs="楷体_GB2312"/>
          <w:sz w:val="24"/>
        </w:rPr>
        <w:t>邱波</w:t>
      </w:r>
    </w:p>
    <w:p w:rsidR="002E67B1" w:rsidRDefault="009C088F">
      <w:pPr>
        <w:rPr>
          <w:rFonts w:ascii="楷体_GB2312" w:eastAsia="楷体_GB2312" w:hAnsi="楷体_GB2312" w:cs="楷体_GB2312"/>
          <w:sz w:val="24"/>
        </w:rPr>
      </w:pPr>
      <w:r>
        <w:rPr>
          <w:rFonts w:ascii="楷体_GB2312" w:eastAsia="楷体_GB2312" w:hAnsi="楷体_GB2312" w:cs="楷体_GB2312"/>
          <w:sz w:val="24"/>
        </w:rPr>
        <w:t>一审行政裁判文书繁简分流的实践检视与路径选择</w:t>
      </w:r>
      <w:r>
        <w:rPr>
          <w:rFonts w:ascii="楷体_GB2312" w:eastAsia="楷体_GB2312" w:hAnsi="楷体_GB2312" w:cs="楷体_GB2312"/>
          <w:sz w:val="24"/>
        </w:rPr>
        <w:t>——</w:t>
      </w:r>
      <w:r>
        <w:rPr>
          <w:rFonts w:ascii="楷体_GB2312" w:eastAsia="楷体_GB2312" w:hAnsi="楷体_GB2312" w:cs="楷体_GB2312"/>
          <w:sz w:val="24"/>
        </w:rPr>
        <w:t>以全国法院两类行政裁判文书为分析样本</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上海铁路运输法院</w:t>
      </w:r>
      <w:r>
        <w:rPr>
          <w:rFonts w:ascii="楷体_GB2312" w:eastAsia="楷体_GB2312" w:hAnsi="楷体_GB2312" w:cs="楷体_GB2312" w:hint="eastAsia"/>
          <w:sz w:val="24"/>
        </w:rPr>
        <w:t xml:space="preserve">  </w:t>
      </w:r>
      <w:r>
        <w:rPr>
          <w:rFonts w:ascii="楷体_GB2312" w:eastAsia="楷体_GB2312" w:hAnsi="楷体_GB2312" w:cs="楷体_GB2312"/>
          <w:sz w:val="24"/>
        </w:rPr>
        <w:t>孙焕焕</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社会主义核心价值观在司法裁判中的运用：反思、证成及规范化路径</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江苏省高级人民法院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谢新竹</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江苏省昆山市人民法院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陆昊</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道德要求抑或法律义务：“类案同判”的逻辑机理及完善进路</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江苏省南京市中级人民法院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张先砉</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类案检索机制的实践困境及应用探索——以李某工伤认定案的检索过程为切入点</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江苏省苏州市中级人民法院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王雪麟</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取径“论证逻辑”：违法审判责任的论证式认定模式构想——由围绕结果到兼</w:t>
      </w:r>
      <w:r>
        <w:rPr>
          <w:rFonts w:ascii="楷体_GB2312" w:eastAsia="楷体_GB2312" w:hAnsi="楷体_GB2312" w:cs="楷体_GB2312" w:hint="eastAsia"/>
          <w:sz w:val="24"/>
        </w:rPr>
        <w:lastRenderedPageBreak/>
        <w:t>顾行为、结果的转变</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江苏省东台市人民法院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谭斌</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寇建东</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东部地区人民法庭精英化审判团队的实践困境与路径探索</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江苏省连云港市赣榆区人民法院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刘炳海</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赵丹</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人民法庭地理布局优化的模型建构与应用——以东部地区</w:t>
      </w:r>
      <w:r>
        <w:rPr>
          <w:rFonts w:ascii="楷体_GB2312" w:eastAsia="楷体_GB2312" w:hAnsi="楷体_GB2312" w:cs="楷体_GB2312" w:hint="eastAsia"/>
          <w:sz w:val="24"/>
        </w:rPr>
        <w:t>137</w:t>
      </w:r>
      <w:r>
        <w:rPr>
          <w:rFonts w:ascii="楷体_GB2312" w:eastAsia="楷体_GB2312" w:hAnsi="楷体_GB2312" w:cs="楷体_GB2312" w:hint="eastAsia"/>
          <w:sz w:val="24"/>
        </w:rPr>
        <w:t>个人民法庭为研究样本</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江苏省扬州市中级人民法院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姜金良</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张丹丹</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行政裁判中遗漏诉讼请求的现象解析及其司法规制——基于</w:t>
      </w:r>
      <w:r>
        <w:rPr>
          <w:rFonts w:ascii="楷体_GB2312" w:eastAsia="楷体_GB2312" w:hAnsi="楷体_GB2312" w:cs="楷体_GB2312" w:hint="eastAsia"/>
          <w:sz w:val="24"/>
        </w:rPr>
        <w:t>对中国裁判文书网</w:t>
      </w:r>
      <w:r>
        <w:rPr>
          <w:rFonts w:ascii="楷体_GB2312" w:eastAsia="楷体_GB2312" w:hAnsi="楷体_GB2312" w:cs="楷体_GB2312" w:hint="eastAsia"/>
          <w:sz w:val="24"/>
        </w:rPr>
        <w:t>143</w:t>
      </w:r>
      <w:r>
        <w:rPr>
          <w:rFonts w:ascii="楷体_GB2312" w:eastAsia="楷体_GB2312" w:hAnsi="楷体_GB2312" w:cs="楷体_GB2312" w:hint="eastAsia"/>
          <w:sz w:val="24"/>
        </w:rPr>
        <w:t>份行政裁判文书的分析</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江苏省淮安市中级人民法院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解思辛</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姬美修</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鲍平晓</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实务厘清：行政诉讼中利害关系的认定</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江苏省镇江经济开发区人民法院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李平波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方一之</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行政公益诉讼中行政机关“全面履职”的司法审查模型研究——以“宝鸡市环境保护局凤翔分局不全面履职案”为分析视角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江苏省淮安市淮安区人民法院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张强</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赵凌峰</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简案快审路在何方：要素式审判法的运用与优化</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江苏省淮安市淮阴区人民法院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滕威</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王圣宇</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合议庭少数意见公开机制问题研究——以强化裁判文书说理为视角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江苏省扬中市人民法院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王晓洁</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顾倩</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情理在疑难案件司法裁判中不当运用问题研究</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江苏省连云港经济技术开发区人民法院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宋金林</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薛子裔</w:t>
      </w:r>
      <w:r>
        <w:rPr>
          <w:rFonts w:ascii="楷体_GB2312" w:eastAsia="楷体_GB2312" w:hAnsi="楷体_GB2312" w:cs="楷体_GB2312" w:hint="eastAsia"/>
          <w:sz w:val="24"/>
        </w:rPr>
        <w:t xml:space="preserve">  </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破茧之路：人员分类管理模式下司法行政人员的职业困境与突围——基于对</w:t>
      </w:r>
      <w:r>
        <w:rPr>
          <w:rFonts w:ascii="楷体_GB2312" w:eastAsia="楷体_GB2312" w:hAnsi="楷体_GB2312" w:cs="楷体_GB2312" w:hint="eastAsia"/>
          <w:sz w:val="24"/>
        </w:rPr>
        <w:t>T</w:t>
      </w:r>
      <w:r>
        <w:rPr>
          <w:rFonts w:ascii="楷体_GB2312" w:eastAsia="楷体_GB2312" w:hAnsi="楷体_GB2312" w:cs="楷体_GB2312" w:hint="eastAsia"/>
          <w:sz w:val="24"/>
        </w:rPr>
        <w:lastRenderedPageBreak/>
        <w:t>市基层法院的“三维”实证分析</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浙江省三门县人民法院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余慧玲</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邵宜鸯</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环境民事诉讼三分模式下的协调进路——从“分离式”向“协同化”衍变</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浙江省新昌县人民法院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求金霞</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法官惩戒委员会价值厘定及制度重构——以中立性、独立性、权威性为导向</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安徽省蚌埠市禹会区人民法院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王忆哲</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欲求与回应：法院干警履职保险制度探索——以</w:t>
      </w:r>
      <w:r>
        <w:rPr>
          <w:rFonts w:ascii="楷体_GB2312" w:eastAsia="楷体_GB2312" w:hAnsi="楷体_GB2312" w:cs="楷体_GB2312" w:hint="eastAsia"/>
          <w:sz w:val="24"/>
        </w:rPr>
        <w:t>278</w:t>
      </w:r>
      <w:r>
        <w:rPr>
          <w:rFonts w:ascii="楷体_GB2312" w:eastAsia="楷体_GB2312" w:hAnsi="楷体_GB2312" w:cs="楷体_GB2312" w:hint="eastAsia"/>
          <w:sz w:val="24"/>
        </w:rPr>
        <w:t>份调查问卷为实证分析</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安徽省巢湖市人民法院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司璐</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理性选择：法官流失与司法改革关系之递嬗与省思——基于</w:t>
      </w:r>
      <w:r>
        <w:rPr>
          <w:rFonts w:ascii="楷体_GB2312" w:eastAsia="楷体_GB2312" w:hAnsi="楷体_GB2312" w:cs="楷体_GB2312" w:hint="eastAsia"/>
          <w:sz w:val="24"/>
        </w:rPr>
        <w:t>A</w:t>
      </w:r>
      <w:r>
        <w:rPr>
          <w:rFonts w:ascii="楷体_GB2312" w:eastAsia="楷体_GB2312" w:hAnsi="楷体_GB2312" w:cs="楷体_GB2312" w:hint="eastAsia"/>
          <w:sz w:val="24"/>
        </w:rPr>
        <w:t>省若干典型法院的实证分析</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安徽省淮南市谢家集区人民法院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牛艳</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安徽省淮南市中级人民法院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李兆杰</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困境与应变：环境行政公益诉讼制度架构的断点修复——以试点阶段成效分析为引介</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安徽省涡阳县人民法院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张泽宇</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上海市徐汇区人民检察院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倪文琦</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行政诉讼受案范围排除事项的体系建构和司法适用——以</w:t>
      </w:r>
      <w:r>
        <w:rPr>
          <w:rFonts w:ascii="楷体_GB2312" w:eastAsia="楷体_GB2312" w:hAnsi="楷体_GB2312" w:cs="楷体_GB2312" w:hint="eastAsia"/>
          <w:sz w:val="24"/>
        </w:rPr>
        <w:t>2018</w:t>
      </w:r>
      <w:r>
        <w:rPr>
          <w:rFonts w:ascii="楷体_GB2312" w:eastAsia="楷体_GB2312" w:hAnsi="楷体_GB2312" w:cs="楷体_GB2312" w:hint="eastAsia"/>
          <w:sz w:val="24"/>
        </w:rPr>
        <w:t>解释第一条第二款第十项为切入口</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安徽省舒城县人民法院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朱</w:t>
      </w:r>
      <w:r>
        <w:rPr>
          <w:rFonts w:ascii="楷体_GB2312" w:eastAsia="楷体_GB2312" w:hAnsi="楷体_GB2312" w:cs="楷体_GB2312" w:hint="eastAsia"/>
          <w:sz w:val="24"/>
        </w:rPr>
        <w:t>亚非</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我国“执转破”启动机制的困境与突破——经济分析法学视域下的应对之策</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安徽省宿州市中级人民法院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李孟</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供给侧改革视角下法官惩戒制度的完善——以法官惩戒委员会的实体化运作</w:t>
      </w:r>
      <w:r>
        <w:rPr>
          <w:rFonts w:ascii="楷体_GB2312" w:eastAsia="楷体_GB2312" w:hAnsi="楷体_GB2312" w:cs="楷体_GB2312" w:hint="eastAsia"/>
          <w:sz w:val="24"/>
        </w:rPr>
        <w:lastRenderedPageBreak/>
        <w:t>为指向</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福建省泉州市中级人民法院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张顺发</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黄金菊</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承启之间：中级法院职能调整与优化进路</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福建省厦门市中级人民法院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洪志坚</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颜映红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罗仁冰</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激发民间智慧：人民陪审员绩效管理模式探析——以</w:t>
      </w:r>
      <w:r>
        <w:rPr>
          <w:rFonts w:ascii="楷体_GB2312" w:eastAsia="楷体_GB2312" w:hAnsi="楷体_GB2312" w:cs="楷体_GB2312" w:hint="eastAsia"/>
          <w:sz w:val="24"/>
        </w:rPr>
        <w:t>KPI</w:t>
      </w:r>
      <w:r>
        <w:rPr>
          <w:rFonts w:ascii="楷体_GB2312" w:eastAsia="楷体_GB2312" w:hAnsi="楷体_GB2312" w:cs="楷体_GB2312" w:hint="eastAsia"/>
          <w:sz w:val="24"/>
        </w:rPr>
        <w:t>绩效管理机制的嵌入为视角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福建省德化县人民法院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黄衍青</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杨小蓉</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从对抗夫妻到合作父母——以父母责任为中心的亲子案件审执进深路径探析</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福</w:t>
      </w:r>
      <w:r>
        <w:rPr>
          <w:rFonts w:ascii="楷体_GB2312" w:eastAsia="楷体_GB2312" w:hAnsi="楷体_GB2312" w:cs="楷体_GB2312" w:hint="eastAsia"/>
          <w:sz w:val="24"/>
        </w:rPr>
        <w:t>建省厦门市海沧区人民法院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黄冬阳</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芦絮</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方珺</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监委调查案件适用认罪认罚从宽制度探析——以</w:t>
      </w:r>
      <w:r>
        <w:rPr>
          <w:rFonts w:ascii="楷体_GB2312" w:eastAsia="楷体_GB2312" w:hAnsi="楷体_GB2312" w:cs="楷体_GB2312" w:hint="eastAsia"/>
          <w:sz w:val="24"/>
        </w:rPr>
        <w:t>S</w:t>
      </w:r>
      <w:r>
        <w:rPr>
          <w:rFonts w:ascii="楷体_GB2312" w:eastAsia="楷体_GB2312" w:hAnsi="楷体_GB2312" w:cs="楷体_GB2312" w:hint="eastAsia"/>
          <w:sz w:val="24"/>
        </w:rPr>
        <w:t>市“监、检、法”三家形成刑事政策适用规则会议纪要为样本</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福建省厦门市中级人民法院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李志远</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吴成杰</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环境行政附带民事公益诉讼模式规则论要</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福建省福州市中级人民法院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张志灯</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不当行政行为“软”规制路径——以行政行为明显不当与非明显不当“交叉区域”为切入点</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福建省罗源县人民法院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李孝兴</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论裁判文书释法说理提升范式转型——基于全国法院首届“百篇优秀裁判文书”的实证分析</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福建省厦门市中级人民法院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吴丽雪</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柯雅玲</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范亲敏</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法官庭审打断之共识与规则建构策论——基于以审判为中心的刑事庭审实质化改革视角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lastRenderedPageBreak/>
        <w:t>福建省厦门市中级人民法院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李志远</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福建省厦门市海沧区人民法院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付臻</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福建省厦门市中级人民法院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冯元元</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“一点四面</w:t>
      </w:r>
      <w:r>
        <w:rPr>
          <w:rFonts w:ascii="楷体_GB2312" w:eastAsia="楷体_GB2312" w:hAnsi="楷体_GB2312" w:cs="楷体_GB2312" w:hint="eastAsia"/>
          <w:sz w:val="24"/>
        </w:rPr>
        <w:t>+</w:t>
      </w:r>
      <w:r>
        <w:rPr>
          <w:rFonts w:ascii="楷体_GB2312" w:eastAsia="楷体_GB2312" w:hAnsi="楷体_GB2312" w:cs="楷体_GB2312" w:hint="eastAsia"/>
          <w:sz w:val="24"/>
        </w:rPr>
        <w:t>尾翼”：防范刑民交叉</w:t>
      </w:r>
      <w:r>
        <w:rPr>
          <w:rFonts w:ascii="楷体_GB2312" w:eastAsia="楷体_GB2312" w:hAnsi="楷体_GB2312" w:cs="楷体_GB2312" w:hint="eastAsia"/>
          <w:sz w:val="24"/>
        </w:rPr>
        <w:t>案件</w:t>
      </w:r>
      <w:r>
        <w:rPr>
          <w:rFonts w:ascii="楷体_GB2312" w:eastAsia="楷体_GB2312" w:hAnsi="楷体_GB2312" w:cs="楷体_GB2312" w:hint="eastAsia"/>
          <w:sz w:val="24"/>
        </w:rPr>
        <w:t>司法风险的路径重构</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福建省漳州市中级人民法院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蔡红梅</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司法直播视域下庭审制度的反思与重构——以多方博弈为分析视角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江西省宜春市袁州区人民法院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邓永民</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法院司法行政事务管理模式之检讨与完善</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江西省上饶市中级人民法院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连重波</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基层法院一站式诉讼服务中心人力资源管理完善路径——以</w:t>
      </w:r>
      <w:r>
        <w:rPr>
          <w:rFonts w:ascii="楷体_GB2312" w:eastAsia="楷体_GB2312" w:hAnsi="楷体_GB2312" w:cs="楷体_GB2312" w:hint="eastAsia"/>
          <w:sz w:val="24"/>
        </w:rPr>
        <w:t>J</w:t>
      </w:r>
      <w:r>
        <w:rPr>
          <w:rFonts w:ascii="楷体_GB2312" w:eastAsia="楷体_GB2312" w:hAnsi="楷体_GB2312" w:cs="楷体_GB2312" w:hint="eastAsia"/>
          <w:sz w:val="24"/>
        </w:rPr>
        <w:t>省</w:t>
      </w:r>
      <w:r>
        <w:rPr>
          <w:rFonts w:ascii="楷体_GB2312" w:eastAsia="楷体_GB2312" w:hAnsi="楷体_GB2312" w:cs="楷体_GB2312" w:hint="eastAsia"/>
          <w:sz w:val="24"/>
        </w:rPr>
        <w:t>10</w:t>
      </w:r>
      <w:r>
        <w:rPr>
          <w:rFonts w:ascii="楷体_GB2312" w:eastAsia="楷体_GB2312" w:hAnsi="楷体_GB2312" w:cs="楷体_GB2312" w:hint="eastAsia"/>
          <w:sz w:val="24"/>
        </w:rPr>
        <w:t>个基层法院诉讼服务中心人员现状为样本</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江西省石城县人民法院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陈文春</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孔繁灵</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规范性文件司法审查理性思辨与路径探索——基于“附带性”审查与“隐性”审查之比较分析</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南昌铁路运输中级法院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熊霓</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郑红葛</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行政诉讼客观诉合并审理的问题探析——以</w:t>
      </w:r>
      <w:r>
        <w:rPr>
          <w:rFonts w:ascii="楷体_GB2312" w:eastAsia="楷体_GB2312" w:hAnsi="楷体_GB2312" w:cs="楷体_GB2312" w:hint="eastAsia"/>
          <w:sz w:val="24"/>
        </w:rPr>
        <w:t>336</w:t>
      </w:r>
      <w:r>
        <w:rPr>
          <w:rFonts w:ascii="楷体_GB2312" w:eastAsia="楷体_GB2312" w:hAnsi="楷体_GB2312" w:cs="楷体_GB2312" w:hint="eastAsia"/>
          <w:sz w:val="24"/>
        </w:rPr>
        <w:t>份行政裁判文书为实证分析</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江西省</w:t>
      </w:r>
      <w:r>
        <w:rPr>
          <w:rFonts w:ascii="楷体_GB2312" w:eastAsia="楷体_GB2312" w:hAnsi="楷体_GB2312" w:cs="楷体_GB2312" w:hint="eastAsia"/>
          <w:sz w:val="24"/>
        </w:rPr>
        <w:t>景德镇市中级人民法院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董美霞</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江西省进贤县人民法院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肖慧</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行政争议实质性化解背景下诉前协调机制的实效分析——以</w:t>
      </w:r>
      <w:r>
        <w:rPr>
          <w:rFonts w:ascii="楷体_GB2312" w:eastAsia="楷体_GB2312" w:hAnsi="楷体_GB2312" w:cs="楷体_GB2312" w:hint="eastAsia"/>
          <w:sz w:val="24"/>
        </w:rPr>
        <w:t>N</w:t>
      </w:r>
      <w:r>
        <w:rPr>
          <w:rFonts w:ascii="楷体_GB2312" w:eastAsia="楷体_GB2312" w:hAnsi="楷体_GB2312" w:cs="楷体_GB2312" w:hint="eastAsia"/>
          <w:sz w:val="24"/>
        </w:rPr>
        <w:t>铁路运输法院的探索为样本</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南昌铁路运输法院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石春芳</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谋利型违约诉讼的规制——基于信号传递模型的分析</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lastRenderedPageBreak/>
        <w:t>江西省进贤县</w:t>
      </w:r>
      <w:r>
        <w:rPr>
          <w:rFonts w:ascii="楷体_GB2312" w:eastAsia="楷体_GB2312" w:hAnsi="楷体_GB2312" w:cs="楷体_GB2312" w:hint="eastAsia"/>
          <w:sz w:val="24"/>
        </w:rPr>
        <w:t>人民</w:t>
      </w:r>
      <w:r>
        <w:rPr>
          <w:rFonts w:ascii="楷体_GB2312" w:eastAsia="楷体_GB2312" w:hAnsi="楷体_GB2312" w:cs="楷体_GB2312" w:hint="eastAsia"/>
          <w:sz w:val="24"/>
        </w:rPr>
        <w:t>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熊丽萍</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肖慧</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反思性设想：论“其他诉讼费用”的分担规则与风险承担——以审判与诉讼的二次成本转化为路径</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江西省吉安县人民法院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曾佐宸</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和而不同：裁判文书少数意见公开的规则建构——以少数意见类型化为视角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江西省吉安市吉州区人民法院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郑辉</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“切实解决执行难”视野下的执行员再定位——兼论建立执行官为主体的执行权运行机制</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江西省高级人民法院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李哲</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江西省进贤县人民法院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刘利荣</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协而不同：法官助理审判辅助工作可视化绩效管理机制探究</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山东省日照市岚山区人民法院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张萌</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聘任制法官助理制度的构建——以解决法官助理身份“双轨制”问题为视角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山东省潍坊市中级人民法院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周伟</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论化解案件激增诉讼风险的进路与方法——以知识产权技术类案件立案登记制改革实践为视角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山东省高级人民法院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周蓉蓉</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信赖利益保护的司法机制探析——以司法推动社会治理现代化为视角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山东省日照市中级人民法院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王建秀</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判决书援引传统文化探究——基于</w:t>
      </w:r>
      <w:r>
        <w:rPr>
          <w:rFonts w:ascii="楷体_GB2312" w:eastAsia="楷体_GB2312" w:hAnsi="楷体_GB2312" w:cs="楷体_GB2312" w:hint="eastAsia"/>
          <w:sz w:val="24"/>
        </w:rPr>
        <w:t>132</w:t>
      </w:r>
      <w:r>
        <w:rPr>
          <w:rFonts w:ascii="楷体_GB2312" w:eastAsia="楷体_GB2312" w:hAnsi="楷体_GB2312" w:cs="楷体_GB2312" w:hint="eastAsia"/>
          <w:sz w:val="24"/>
        </w:rPr>
        <w:t>份生效裁判文书的实证分析</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山东省滨州市中级人民法院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方月伦</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“财产性判项”履行的认定困境与破解之道——以</w:t>
      </w:r>
      <w:r>
        <w:rPr>
          <w:rFonts w:ascii="楷体_GB2312" w:eastAsia="楷体_GB2312" w:hAnsi="楷体_GB2312" w:cs="楷体_GB2312" w:hint="eastAsia"/>
          <w:sz w:val="24"/>
        </w:rPr>
        <w:t>A</w:t>
      </w:r>
      <w:r>
        <w:rPr>
          <w:rFonts w:ascii="楷体_GB2312" w:eastAsia="楷体_GB2312" w:hAnsi="楷体_GB2312" w:cs="楷体_GB2312" w:hint="eastAsia"/>
          <w:sz w:val="24"/>
        </w:rPr>
        <w:t>市法院</w:t>
      </w:r>
      <w:r>
        <w:rPr>
          <w:rFonts w:ascii="楷体_GB2312" w:eastAsia="楷体_GB2312" w:hAnsi="楷体_GB2312" w:cs="楷体_GB2312" w:hint="eastAsia"/>
          <w:sz w:val="24"/>
        </w:rPr>
        <w:t>612</w:t>
      </w:r>
      <w:r>
        <w:rPr>
          <w:rFonts w:ascii="楷体_GB2312" w:eastAsia="楷体_GB2312" w:hAnsi="楷体_GB2312" w:cs="楷体_GB2312" w:hint="eastAsia"/>
          <w:sz w:val="24"/>
        </w:rPr>
        <w:t>件减刑、假释</w:t>
      </w:r>
      <w:r>
        <w:rPr>
          <w:rFonts w:ascii="楷体_GB2312" w:eastAsia="楷体_GB2312" w:hAnsi="楷体_GB2312" w:cs="楷体_GB2312" w:hint="eastAsia"/>
          <w:sz w:val="24"/>
        </w:rPr>
        <w:lastRenderedPageBreak/>
        <w:t>案件为样本</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河南省安阳市中级人民法院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邢霞</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刘丽杰</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反思与超越：民事二审设置简易程序的理性思辨及其实现进路——以民事二审不开庭审理实践异化为逻辑起点</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河南省平顶山市中级人民法院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刘冠华</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张松鹤</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扭曲与归位：行为执行不能案件退出困境的路径突破</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河南省郑州市中级人民法院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李志增</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李冰</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组织行为学视角下增强法院人才吸引力研究</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湖北省武汉市江岸区人民法院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余敏</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从优先到前置：调诉分接的瓶颈突破与规范续造</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湖北省武汉市中级人民法院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王兆忠</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危永波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吴红兵</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要素抓取：大数据视角下审判效率提升路径研究——以审前准备及诉讼调解为关键环节</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湖北省武汉市</w:t>
      </w:r>
      <w:r>
        <w:rPr>
          <w:rFonts w:ascii="楷体_GB2312" w:eastAsia="楷体_GB2312" w:hAnsi="楷体_GB2312" w:cs="楷体_GB2312" w:hint="eastAsia"/>
          <w:sz w:val="24"/>
        </w:rPr>
        <w:t>江岸区人民法院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汪为</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侯立平</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刑事附带民事诉讼中赔偿“两金”必要性研究——以</w:t>
      </w:r>
      <w:r>
        <w:rPr>
          <w:rFonts w:ascii="楷体_GB2312" w:eastAsia="楷体_GB2312" w:hAnsi="楷体_GB2312" w:cs="楷体_GB2312" w:hint="eastAsia"/>
          <w:sz w:val="24"/>
        </w:rPr>
        <w:t>1000</w:t>
      </w:r>
      <w:r>
        <w:rPr>
          <w:rFonts w:ascii="楷体_GB2312" w:eastAsia="楷体_GB2312" w:hAnsi="楷体_GB2312" w:cs="楷体_GB2312" w:hint="eastAsia"/>
          <w:sz w:val="24"/>
        </w:rPr>
        <w:t>份刑事附带民事判决书为样本</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湖北省汉江中级人民法院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杨艳荣</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纠纷解决机制“两率”背离：调解案件大量进入强制执行程序现象的反思——以</w:t>
      </w:r>
      <w:r>
        <w:rPr>
          <w:rFonts w:ascii="楷体_GB2312" w:eastAsia="楷体_GB2312" w:hAnsi="楷体_GB2312" w:cs="楷体_GB2312" w:hint="eastAsia"/>
          <w:sz w:val="24"/>
        </w:rPr>
        <w:t>H</w:t>
      </w:r>
      <w:r>
        <w:rPr>
          <w:rFonts w:ascii="楷体_GB2312" w:eastAsia="楷体_GB2312" w:hAnsi="楷体_GB2312" w:cs="楷体_GB2312" w:hint="eastAsia"/>
          <w:sz w:val="24"/>
        </w:rPr>
        <w:t>省</w:t>
      </w:r>
      <w:r>
        <w:rPr>
          <w:rFonts w:ascii="楷体_GB2312" w:eastAsia="楷体_GB2312" w:hAnsi="楷体_GB2312" w:cs="楷体_GB2312" w:hint="eastAsia"/>
          <w:sz w:val="24"/>
        </w:rPr>
        <w:t>Z</w:t>
      </w:r>
      <w:r>
        <w:rPr>
          <w:rFonts w:ascii="楷体_GB2312" w:eastAsia="楷体_GB2312" w:hAnsi="楷体_GB2312" w:cs="楷体_GB2312" w:hint="eastAsia"/>
          <w:sz w:val="24"/>
        </w:rPr>
        <w:t>县法院为样本</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湖北省秭归县人民法院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邓娇</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陈芳</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邓颖尹</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法院微博文本语言的问题检视与优化</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湖南省娄底市中级人民法院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梁成文</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lastRenderedPageBreak/>
        <w:t>从被动到能动：指导性案例发现和培育模式的转型与再造</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湖南省新邵县人民法院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刘园芝</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湖南省高级人民法院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童飞霜</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基层法官助理隐性知识的培养——基于知识管理学的视角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湖南省永州市零陵区人民法院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何小春</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李茜</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softHyphen/>
      </w:r>
      <w:r>
        <w:rPr>
          <w:rFonts w:ascii="楷体_GB2312" w:eastAsia="楷体_GB2312" w:hAnsi="楷体_GB2312" w:cs="楷体_GB2312" w:hint="eastAsia"/>
          <w:sz w:val="24"/>
        </w:rPr>
        <w:softHyphen/>
      </w:r>
      <w:r>
        <w:rPr>
          <w:rFonts w:ascii="楷体_GB2312" w:eastAsia="楷体_GB2312" w:hAnsi="楷体_GB2312" w:cs="楷体_GB2312" w:hint="eastAsia"/>
          <w:sz w:val="24"/>
        </w:rPr>
        <w:t>审判委员会讨论意见在判决书中公开的路径构建</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湖南省嘉禾县人民法院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文俊</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如何陪审：角色理论下民事法官指引机制的反思与完善</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湖南省湘阴县人民法院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尹宣姣</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钟玲</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类型理论下服判息诉率指标的检视与重构——以</w:t>
      </w:r>
      <w:r>
        <w:rPr>
          <w:rFonts w:ascii="楷体_GB2312" w:eastAsia="楷体_GB2312" w:hAnsi="楷体_GB2312" w:cs="楷体_GB2312" w:hint="eastAsia"/>
          <w:sz w:val="24"/>
        </w:rPr>
        <w:t>S</w:t>
      </w:r>
      <w:r>
        <w:rPr>
          <w:rFonts w:ascii="楷体_GB2312" w:eastAsia="楷体_GB2312" w:hAnsi="楷体_GB2312" w:cs="楷体_GB2312" w:hint="eastAsia"/>
          <w:sz w:val="24"/>
        </w:rPr>
        <w:t>省</w:t>
      </w:r>
      <w:r>
        <w:rPr>
          <w:rFonts w:ascii="楷体_GB2312" w:eastAsia="楷体_GB2312" w:hAnsi="楷体_GB2312" w:cs="楷体_GB2312" w:hint="eastAsia"/>
          <w:sz w:val="24"/>
        </w:rPr>
        <w:t>H</w:t>
      </w:r>
      <w:r>
        <w:rPr>
          <w:rFonts w:ascii="楷体_GB2312" w:eastAsia="楷体_GB2312" w:hAnsi="楷体_GB2312" w:cs="楷体_GB2312" w:hint="eastAsia"/>
          <w:sz w:val="24"/>
        </w:rPr>
        <w:t>县法院</w:t>
      </w:r>
      <w:r>
        <w:rPr>
          <w:rFonts w:ascii="楷体_GB2312" w:eastAsia="楷体_GB2312" w:hAnsi="楷体_GB2312" w:cs="楷体_GB2312" w:hint="eastAsia"/>
          <w:sz w:val="24"/>
        </w:rPr>
        <w:t>652</w:t>
      </w:r>
      <w:r>
        <w:rPr>
          <w:rFonts w:ascii="楷体_GB2312" w:eastAsia="楷体_GB2312" w:hAnsi="楷体_GB2312" w:cs="楷体_GB2312" w:hint="eastAsia"/>
          <w:sz w:val="24"/>
        </w:rPr>
        <w:t>份判决为实证分析样本</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湖南省平江县人民法院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李明</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李发达</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环境污染责任纠纷案件代履行制度的实证研究</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湖南省郴州市中级人民法院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胡桐辉</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陈建华</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我国家事案件类型化解决机制的探析——基于程序法理的适用为视角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湖南省怀化市中级人民法院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陆银清</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刑事裁判文书案件事实剪辑的反思——从“构成式”到“争点式”的转变</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湖南省新晃侗族自治县人民法院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全生辉</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湖南省怀化市中级人民法院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舒东龙</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在线诉讼诉权保障与权利滥用之平衡——以当事人诉讼动力调节为视角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湖南省郴州市北湖区人民法院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周文清</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湖南省怀化市中级人民法院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张安琪</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lastRenderedPageBreak/>
        <w:t>释法说理视域中民事裁判文书附件的规范化研究</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湖南省长沙县人民法院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王懿林</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刘贝</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环境资源案件跨区域管辖制度的完善——基于习近平总书</w:t>
      </w:r>
      <w:r>
        <w:rPr>
          <w:rFonts w:ascii="楷体_GB2312" w:eastAsia="楷体_GB2312" w:hAnsi="楷体_GB2312" w:cs="楷体_GB2312" w:hint="eastAsia"/>
          <w:sz w:val="24"/>
        </w:rPr>
        <w:t>记生态系统治理观视角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湖南省岳阳市君山区人民法院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陈勇</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许燕</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类案推送系统的应用困境与出路——基于层次分析法的研究</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广东省珠海市中级人民法院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郑仲超</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基层法院审判委员会筛选案件：讨论前的案件分辨、分层与分流——以</w:t>
      </w:r>
      <w:r>
        <w:rPr>
          <w:rFonts w:ascii="楷体_GB2312" w:eastAsia="楷体_GB2312" w:hAnsi="楷体_GB2312" w:cs="楷体_GB2312" w:hint="eastAsia"/>
          <w:sz w:val="24"/>
        </w:rPr>
        <w:t>G</w:t>
      </w:r>
      <w:r>
        <w:rPr>
          <w:rFonts w:ascii="楷体_GB2312" w:eastAsia="楷体_GB2312" w:hAnsi="楷体_GB2312" w:cs="楷体_GB2312" w:hint="eastAsia"/>
          <w:sz w:val="24"/>
        </w:rPr>
        <w:t>市</w:t>
      </w:r>
      <w:r>
        <w:rPr>
          <w:rFonts w:ascii="楷体_GB2312" w:eastAsia="楷体_GB2312" w:hAnsi="楷体_GB2312" w:cs="楷体_GB2312" w:hint="eastAsia"/>
          <w:sz w:val="24"/>
        </w:rPr>
        <w:t>T</w:t>
      </w:r>
      <w:r>
        <w:rPr>
          <w:rFonts w:ascii="楷体_GB2312" w:eastAsia="楷体_GB2312" w:hAnsi="楷体_GB2312" w:cs="楷体_GB2312" w:hint="eastAsia"/>
          <w:sz w:val="24"/>
        </w:rPr>
        <w:t>区法院审判委员会案件讨论为样本</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广东省广州市天河区人民法院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阚倩</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李凯</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粤港澳大湾区司法商谈之路径探索——一种对话式司法的展开</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广东省佛山市中级人民法院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黄燕芝</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“本院认为”中的“价值杠杆”：诉讼费用负担的工具理性、实践检验与完善路径</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广州互联网法院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林北征</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广东省</w:t>
      </w:r>
      <w:r>
        <w:rPr>
          <w:rFonts w:ascii="楷体_GB2312" w:eastAsia="楷体_GB2312" w:hAnsi="楷体_GB2312" w:cs="楷体_GB2312" w:hint="eastAsia"/>
          <w:sz w:val="24"/>
        </w:rPr>
        <w:t>广州市番禺区人民法院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倪丽珠</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从“工具理性”到“交往理性”：民事诉讼当事人虚假陈述的司法认定与防治</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广东省广州市中级人民法院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唐亚玲</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“自我鉴真”还是“法律鉴真”：区块链证据的真实性认定迷局与规则重构</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广州互联网法院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段莉琼</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吴博雅</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探求法院内设机构改革的帕累托改进——以构建要素式审判团队为中心</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广西壮族自治区上思县人民法院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江河媛</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lastRenderedPageBreak/>
        <w:t>“互联网＋诉前联合调解”机制的探索——用互联网科技续写“枫桥经验”新时代篇章</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广西壮族自治区南宁市江南区人民法院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谭小彤</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重大复杂破产案件的界定及管理人选任规则适配问题研究——以</w:t>
      </w:r>
      <w:r>
        <w:rPr>
          <w:rFonts w:ascii="楷体_GB2312" w:eastAsia="楷体_GB2312" w:hAnsi="楷体_GB2312" w:cs="楷体_GB2312" w:hint="eastAsia"/>
          <w:sz w:val="24"/>
        </w:rPr>
        <w:t>G</w:t>
      </w:r>
      <w:r>
        <w:rPr>
          <w:rFonts w:ascii="楷体_GB2312" w:eastAsia="楷体_GB2312" w:hAnsi="楷体_GB2312" w:cs="楷体_GB2312" w:hint="eastAsia"/>
          <w:sz w:val="24"/>
        </w:rPr>
        <w:t>市法院审理的部分类型案件为研究范本</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蒋太仁</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广东省广州市中级人民法院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李超彬</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系统性金融风险防范视角下的逆周期能动司法——基于</w:t>
      </w:r>
      <w:r>
        <w:rPr>
          <w:rFonts w:ascii="楷体_GB2312" w:eastAsia="楷体_GB2312" w:hAnsi="楷体_GB2312" w:cs="楷体_GB2312" w:hint="eastAsia"/>
          <w:sz w:val="24"/>
        </w:rPr>
        <w:t>S</w:t>
      </w:r>
      <w:r>
        <w:rPr>
          <w:rFonts w:ascii="楷体_GB2312" w:eastAsia="楷体_GB2312" w:hAnsi="楷体_GB2312" w:cs="楷体_GB2312" w:hint="eastAsia"/>
          <w:sz w:val="24"/>
        </w:rPr>
        <w:t>市金融司法实践的实证研究</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上海金融法院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练彬彬</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程红星</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海南省高级人民法院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程序</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“把孤岛连成大陆”：类案检索机制的基准案例库之构建——以“知识地图</w:t>
      </w:r>
      <w:r>
        <w:rPr>
          <w:rFonts w:ascii="楷体_GB2312" w:eastAsia="楷体_GB2312" w:hAnsi="楷体_GB2312" w:cs="楷体_GB2312" w:hint="eastAsia"/>
          <w:sz w:val="24"/>
        </w:rPr>
        <w:t>+</w:t>
      </w:r>
      <w:r>
        <w:rPr>
          <w:rFonts w:ascii="楷体_GB2312" w:eastAsia="楷体_GB2312" w:hAnsi="楷体_GB2312" w:cs="楷体_GB2312" w:hint="eastAsia"/>
          <w:sz w:val="24"/>
        </w:rPr>
        <w:t>案例培育”模式</w:t>
      </w:r>
      <w:r>
        <w:rPr>
          <w:rFonts w:ascii="楷体_GB2312" w:eastAsia="楷体_GB2312" w:hAnsi="楷体_GB2312" w:cs="楷体_GB2312" w:hint="eastAsia"/>
          <w:sz w:val="24"/>
        </w:rPr>
        <w:t>为契口</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北京市大兴区人民法院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熊诗岚</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海南省海口市中级人民法院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刘思其</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绩效管理视域下的基层法院专项转移支付资金：域外考察与本土展望</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山东省临清市人民法院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郑晓静</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海南省陵水县人民法院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谢玉良</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“长期未结案”当事人审限监督的模式建构与规范完善——基于审判监督管理“过程控制型”理念的视角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海南省第二中级人民法院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曹荣刚</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重庆市第五中级人民法院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罗响林</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徐良</w:t>
      </w:r>
    </w:p>
    <w:p w:rsidR="002E67B1" w:rsidRDefault="009C088F">
      <w:pPr>
        <w:rPr>
          <w:rFonts w:ascii="楷体_GB2312" w:eastAsia="楷体_GB2312" w:hAnsi="楷体_GB2312" w:cs="楷体_GB2312"/>
          <w:sz w:val="24"/>
        </w:rPr>
      </w:pPr>
      <w:r>
        <w:rPr>
          <w:rFonts w:ascii="楷体_GB2312" w:eastAsia="楷体_GB2312" w:hAnsi="楷体_GB2312" w:cs="楷体_GB2312"/>
          <w:sz w:val="24"/>
        </w:rPr>
        <w:lastRenderedPageBreak/>
        <w:t>世行营商环境评估之</w:t>
      </w:r>
      <w:r>
        <w:rPr>
          <w:rFonts w:ascii="楷体_GB2312" w:eastAsia="楷体_GB2312" w:hAnsi="楷体_GB2312" w:cs="楷体_GB2312"/>
          <w:sz w:val="24"/>
        </w:rPr>
        <w:t>“</w:t>
      </w:r>
      <w:r>
        <w:rPr>
          <w:rFonts w:ascii="楷体_GB2312" w:eastAsia="楷体_GB2312" w:hAnsi="楷体_GB2312" w:cs="楷体_GB2312"/>
          <w:sz w:val="24"/>
        </w:rPr>
        <w:t>执行合同</w:t>
      </w:r>
      <w:r>
        <w:rPr>
          <w:rFonts w:ascii="楷体_GB2312" w:eastAsia="楷体_GB2312" w:hAnsi="楷体_GB2312" w:cs="楷体_GB2312"/>
          <w:sz w:val="24"/>
        </w:rPr>
        <w:t>”</w:t>
      </w:r>
      <w:r>
        <w:rPr>
          <w:rFonts w:ascii="楷体_GB2312" w:eastAsia="楷体_GB2312" w:hAnsi="楷体_GB2312" w:cs="楷体_GB2312"/>
          <w:sz w:val="24"/>
        </w:rPr>
        <w:t>时间指标的优化路径</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重庆</w:t>
      </w:r>
      <w:r>
        <w:rPr>
          <w:rFonts w:ascii="楷体_GB2312" w:eastAsia="楷体_GB2312" w:hAnsi="楷体_GB2312" w:cs="楷体_GB2312" w:hint="eastAsia"/>
          <w:sz w:val="24"/>
        </w:rPr>
        <w:t>市</w:t>
      </w:r>
      <w:r>
        <w:rPr>
          <w:rFonts w:ascii="楷体_GB2312" w:eastAsia="楷体_GB2312" w:hAnsi="楷体_GB2312" w:cs="楷体_GB2312"/>
          <w:sz w:val="24"/>
        </w:rPr>
        <w:t>江北区人民法院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曾成峰</w:t>
      </w:r>
    </w:p>
    <w:p w:rsidR="002E67B1" w:rsidRDefault="009C088F">
      <w:pPr>
        <w:rPr>
          <w:rFonts w:ascii="楷体_GB2312" w:eastAsia="楷体_GB2312" w:hAnsi="楷体_GB2312" w:cs="楷体_GB2312"/>
          <w:sz w:val="24"/>
        </w:rPr>
      </w:pPr>
      <w:r>
        <w:rPr>
          <w:rFonts w:ascii="楷体_GB2312" w:eastAsia="楷体_GB2312" w:hAnsi="楷体_GB2312" w:cs="楷体_GB2312"/>
          <w:sz w:val="24"/>
        </w:rPr>
        <w:t>批评的尺度：不当批评司法判决的合理限度与实践规制探究</w:t>
      </w:r>
      <w:r>
        <w:rPr>
          <w:rFonts w:ascii="楷体_GB2312" w:eastAsia="楷体_GB2312" w:hAnsi="楷体_GB2312" w:cs="楷体_GB2312"/>
          <w:sz w:val="24"/>
        </w:rPr>
        <w:t>——</w:t>
      </w:r>
      <w:r>
        <w:rPr>
          <w:rFonts w:ascii="楷体_GB2312" w:eastAsia="楷体_GB2312" w:hAnsi="楷体_GB2312" w:cs="楷体_GB2312"/>
          <w:sz w:val="24"/>
        </w:rPr>
        <w:t>基于不同身份群体区分批评限度标准的分析</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重庆市第一中级人民法院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李遵礼</w:t>
      </w:r>
      <w:r>
        <w:rPr>
          <w:rFonts w:ascii="楷体_GB2312" w:eastAsia="楷体_GB2312" w:hAnsi="楷体_GB2312" w:cs="楷体_GB2312"/>
          <w:sz w:val="24"/>
        </w:rPr>
        <w:t xml:space="preserve">  </w:t>
      </w:r>
      <w:r>
        <w:rPr>
          <w:rFonts w:ascii="楷体_GB2312" w:eastAsia="楷体_GB2312" w:hAnsi="楷体_GB2312" w:cs="楷体_GB2312"/>
          <w:sz w:val="24"/>
        </w:rPr>
        <w:t>刘婷婷</w:t>
      </w:r>
    </w:p>
    <w:p w:rsidR="002E67B1" w:rsidRDefault="009C088F">
      <w:pPr>
        <w:rPr>
          <w:rFonts w:ascii="楷体_GB2312" w:eastAsia="楷体_GB2312" w:hAnsi="楷体_GB2312" w:cs="楷体_GB2312"/>
          <w:sz w:val="24"/>
        </w:rPr>
      </w:pPr>
      <w:r>
        <w:rPr>
          <w:rFonts w:ascii="楷体_GB2312" w:eastAsia="楷体_GB2312" w:hAnsi="楷体_GB2312" w:cs="楷体_GB2312"/>
          <w:sz w:val="24"/>
        </w:rPr>
        <w:t>民事类案人工智能检索机制构建</w:t>
      </w:r>
      <w:r>
        <w:rPr>
          <w:rFonts w:ascii="楷体_GB2312" w:eastAsia="楷体_GB2312" w:hAnsi="楷体_GB2312" w:cs="楷体_GB2312"/>
          <w:sz w:val="24"/>
        </w:rPr>
        <w:t>——</w:t>
      </w:r>
      <w:r>
        <w:rPr>
          <w:rFonts w:ascii="楷体_GB2312" w:eastAsia="楷体_GB2312" w:hAnsi="楷体_GB2312" w:cs="楷体_GB2312"/>
          <w:sz w:val="24"/>
        </w:rPr>
        <w:t>以要件事实识别标准为视角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重庆两江新区人民法院（重庆自由贸易试验区人民法院）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吴克坤</w:t>
      </w:r>
      <w:r>
        <w:rPr>
          <w:rFonts w:ascii="楷体_GB2312" w:eastAsia="楷体_GB2312" w:hAnsi="楷体_GB2312" w:cs="楷体_GB2312"/>
          <w:sz w:val="24"/>
        </w:rPr>
        <w:t xml:space="preserve">  </w:t>
      </w:r>
      <w:r>
        <w:rPr>
          <w:rFonts w:ascii="楷体_GB2312" w:eastAsia="楷体_GB2312" w:hAnsi="楷体_GB2312" w:cs="楷体_GB2312"/>
          <w:sz w:val="24"/>
        </w:rPr>
        <w:t>李云梦</w:t>
      </w:r>
    </w:p>
    <w:p w:rsidR="002E67B1" w:rsidRDefault="009C088F">
      <w:pPr>
        <w:rPr>
          <w:rFonts w:ascii="楷体_GB2312" w:eastAsia="楷体_GB2312" w:hAnsi="楷体_GB2312" w:cs="楷体_GB2312"/>
          <w:sz w:val="24"/>
        </w:rPr>
      </w:pPr>
      <w:r>
        <w:rPr>
          <w:rFonts w:ascii="楷体_GB2312" w:eastAsia="楷体_GB2312" w:hAnsi="楷体_GB2312" w:cs="楷体_GB2312"/>
          <w:sz w:val="24"/>
        </w:rPr>
        <w:t>审委会讨论案件理由公开的现实困境与制度对策</w:t>
      </w:r>
      <w:r>
        <w:rPr>
          <w:rFonts w:ascii="楷体_GB2312" w:eastAsia="楷体_GB2312" w:hAnsi="楷体_GB2312" w:cs="楷体_GB2312"/>
          <w:sz w:val="24"/>
        </w:rPr>
        <w:t>——</w:t>
      </w:r>
      <w:r>
        <w:rPr>
          <w:rFonts w:ascii="楷体_GB2312" w:eastAsia="楷体_GB2312" w:hAnsi="楷体_GB2312" w:cs="楷体_GB2312"/>
          <w:sz w:val="24"/>
        </w:rPr>
        <w:t>以</w:t>
      </w:r>
      <w:r>
        <w:rPr>
          <w:rFonts w:ascii="楷体_GB2312" w:eastAsia="楷体_GB2312" w:hAnsi="楷体_GB2312" w:cs="楷体_GB2312"/>
          <w:sz w:val="24"/>
        </w:rPr>
        <w:t>181</w:t>
      </w:r>
      <w:r>
        <w:rPr>
          <w:rFonts w:ascii="楷体_GB2312" w:eastAsia="楷体_GB2312" w:hAnsi="楷体_GB2312" w:cs="楷体_GB2312"/>
          <w:sz w:val="24"/>
        </w:rPr>
        <w:t>份经审委会讨论案件裁判文书为样本</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重庆市第五中级人民法院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徐良</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重庆市渝中区人民法院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李弸</w:t>
      </w:r>
    </w:p>
    <w:p w:rsidR="002E67B1" w:rsidRDefault="009C088F">
      <w:pPr>
        <w:rPr>
          <w:rFonts w:ascii="楷体_GB2312" w:eastAsia="楷体_GB2312" w:hAnsi="楷体_GB2312" w:cs="楷体_GB2312"/>
          <w:sz w:val="24"/>
        </w:rPr>
      </w:pPr>
      <w:r>
        <w:rPr>
          <w:rFonts w:ascii="楷体_GB2312" w:eastAsia="楷体_GB2312" w:hAnsi="楷体_GB2312" w:cs="楷体_GB2312"/>
          <w:sz w:val="24"/>
        </w:rPr>
        <w:t>认罪认罚何以</w:t>
      </w:r>
      <w:r>
        <w:rPr>
          <w:rFonts w:ascii="楷体_GB2312" w:eastAsia="楷体_GB2312" w:hAnsi="楷体_GB2312" w:cs="楷体_GB2312"/>
          <w:sz w:val="24"/>
        </w:rPr>
        <w:t>“</w:t>
      </w:r>
      <w:r>
        <w:rPr>
          <w:rFonts w:ascii="楷体_GB2312" w:eastAsia="楷体_GB2312" w:hAnsi="楷体_GB2312" w:cs="楷体_GB2312"/>
          <w:sz w:val="24"/>
        </w:rPr>
        <w:t>从宽</w:t>
      </w:r>
      <w:r>
        <w:rPr>
          <w:rFonts w:ascii="楷体_GB2312" w:eastAsia="楷体_GB2312" w:hAnsi="楷体_GB2312" w:cs="楷体_GB2312"/>
          <w:sz w:val="24"/>
        </w:rPr>
        <w:t>”</w:t>
      </w:r>
      <w:r>
        <w:rPr>
          <w:rFonts w:ascii="楷体_GB2312" w:eastAsia="楷体_GB2312" w:hAnsi="楷体_GB2312" w:cs="楷体_GB2312"/>
          <w:sz w:val="24"/>
        </w:rPr>
        <w:t>：量刑规范化的有效延展</w:t>
      </w:r>
      <w:r>
        <w:rPr>
          <w:rFonts w:ascii="楷体_GB2312" w:eastAsia="楷体_GB2312" w:hAnsi="楷体_GB2312" w:cs="楷体_GB2312"/>
          <w:sz w:val="24"/>
        </w:rPr>
        <w:t>——</w:t>
      </w:r>
      <w:r>
        <w:rPr>
          <w:rFonts w:ascii="楷体_GB2312" w:eastAsia="楷体_GB2312" w:hAnsi="楷体_GB2312" w:cs="楷体_GB2312"/>
          <w:sz w:val="24"/>
        </w:rPr>
        <w:t>以</w:t>
      </w:r>
      <w:r>
        <w:rPr>
          <w:rFonts w:ascii="楷体_GB2312" w:eastAsia="楷体_GB2312" w:hAnsi="楷体_GB2312" w:cs="楷体_GB2312"/>
          <w:sz w:val="24"/>
        </w:rPr>
        <w:t>C</w:t>
      </w:r>
      <w:r>
        <w:rPr>
          <w:rFonts w:ascii="楷体_GB2312" w:eastAsia="楷体_GB2312" w:hAnsi="楷体_GB2312" w:cs="楷体_GB2312"/>
          <w:sz w:val="24"/>
        </w:rPr>
        <w:t>市</w:t>
      </w:r>
      <w:r>
        <w:rPr>
          <w:rFonts w:ascii="楷体_GB2312" w:eastAsia="楷体_GB2312" w:hAnsi="楷体_GB2312" w:cs="楷体_GB2312"/>
          <w:sz w:val="24"/>
        </w:rPr>
        <w:t>2943</w:t>
      </w:r>
      <w:r>
        <w:rPr>
          <w:rFonts w:ascii="楷体_GB2312" w:eastAsia="楷体_GB2312" w:hAnsi="楷体_GB2312" w:cs="楷体_GB2312"/>
          <w:sz w:val="24"/>
        </w:rPr>
        <w:t>份判决为研究样本</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重庆市第三中级人民法院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罗伟</w:t>
      </w:r>
      <w:r>
        <w:rPr>
          <w:rFonts w:ascii="楷体_GB2312" w:eastAsia="楷体_GB2312" w:hAnsi="楷体_GB2312" w:cs="楷体_GB2312"/>
          <w:sz w:val="24"/>
        </w:rPr>
        <w:t xml:space="preserve">  </w:t>
      </w:r>
      <w:r>
        <w:rPr>
          <w:rFonts w:ascii="楷体_GB2312" w:eastAsia="楷体_GB2312" w:hAnsi="楷体_GB2312" w:cs="楷体_GB2312"/>
          <w:sz w:val="24"/>
        </w:rPr>
        <w:t>张胜仙</w:t>
      </w:r>
      <w:r>
        <w:rPr>
          <w:rFonts w:ascii="楷体_GB2312" w:eastAsia="楷体_GB2312" w:hAnsi="楷体_GB2312" w:cs="楷体_GB2312"/>
          <w:sz w:val="24"/>
        </w:rPr>
        <w:t xml:space="preserve">  </w:t>
      </w:r>
      <w:r>
        <w:rPr>
          <w:rFonts w:ascii="楷体_GB2312" w:eastAsia="楷体_GB2312" w:hAnsi="楷体_GB2312" w:cs="楷体_GB2312"/>
          <w:sz w:val="24"/>
        </w:rPr>
        <w:t>刘荣安</w:t>
      </w:r>
    </w:p>
    <w:p w:rsidR="002E67B1" w:rsidRDefault="009C088F">
      <w:pPr>
        <w:rPr>
          <w:rFonts w:ascii="楷体_GB2312" w:eastAsia="楷体_GB2312" w:hAnsi="楷体_GB2312" w:cs="楷体_GB2312"/>
          <w:sz w:val="24"/>
        </w:rPr>
      </w:pPr>
      <w:r>
        <w:rPr>
          <w:rFonts w:ascii="楷体_GB2312" w:eastAsia="楷体_GB2312" w:hAnsi="楷体_GB2312" w:cs="楷体_GB2312"/>
          <w:sz w:val="24"/>
        </w:rPr>
        <w:t>追求</w:t>
      </w:r>
      <w:r>
        <w:rPr>
          <w:rFonts w:ascii="楷体_GB2312" w:eastAsia="楷体_GB2312" w:hAnsi="楷体_GB2312" w:cs="楷体_GB2312"/>
          <w:sz w:val="24"/>
        </w:rPr>
        <w:t>“</w:t>
      </w:r>
      <w:r>
        <w:rPr>
          <w:rFonts w:ascii="楷体_GB2312" w:eastAsia="楷体_GB2312" w:hAnsi="楷体_GB2312" w:cs="楷体_GB2312"/>
          <w:sz w:val="24"/>
        </w:rPr>
        <w:t>切实解决执行难</w:t>
      </w:r>
      <w:r>
        <w:rPr>
          <w:rFonts w:ascii="楷体_GB2312" w:eastAsia="楷体_GB2312" w:hAnsi="楷体_GB2312" w:cs="楷体_GB2312"/>
          <w:sz w:val="24"/>
        </w:rPr>
        <w:t>”</w:t>
      </w:r>
      <w:r>
        <w:rPr>
          <w:rFonts w:ascii="楷体_GB2312" w:eastAsia="楷体_GB2312" w:hAnsi="楷体_GB2312" w:cs="楷体_GB2312"/>
          <w:sz w:val="24"/>
        </w:rPr>
        <w:t>的个人破产制度</w:t>
      </w:r>
      <w:r>
        <w:rPr>
          <w:rFonts w:ascii="楷体_GB2312" w:eastAsia="楷体_GB2312" w:hAnsi="楷体_GB2312" w:cs="楷体_GB2312"/>
          <w:sz w:val="24"/>
        </w:rPr>
        <w:t>——</w:t>
      </w:r>
      <w:r>
        <w:rPr>
          <w:rFonts w:ascii="楷体_GB2312" w:eastAsia="楷体_GB2312" w:hAnsi="楷体_GB2312" w:cs="楷体_GB2312"/>
          <w:sz w:val="24"/>
        </w:rPr>
        <w:t>兼论执行</w:t>
      </w:r>
      <w:r>
        <w:rPr>
          <w:rFonts w:ascii="楷体_GB2312" w:eastAsia="楷体_GB2312" w:hAnsi="楷体_GB2312" w:cs="楷体_GB2312"/>
          <w:sz w:val="24"/>
        </w:rPr>
        <w:t>“</w:t>
      </w:r>
      <w:r>
        <w:rPr>
          <w:rFonts w:ascii="楷体_GB2312" w:eastAsia="楷体_GB2312" w:hAnsi="楷体_GB2312" w:cs="楷体_GB2312"/>
          <w:sz w:val="24"/>
        </w:rPr>
        <w:t>效果</w:t>
      </w:r>
      <w:r>
        <w:rPr>
          <w:rFonts w:ascii="楷体_GB2312" w:eastAsia="楷体_GB2312" w:hAnsi="楷体_GB2312" w:cs="楷体_GB2312"/>
          <w:sz w:val="24"/>
        </w:rPr>
        <w:t>”</w:t>
      </w:r>
      <w:r>
        <w:rPr>
          <w:rFonts w:ascii="楷体_GB2312" w:eastAsia="楷体_GB2312" w:hAnsi="楷体_GB2312" w:cs="楷体_GB2312"/>
          <w:sz w:val="24"/>
        </w:rPr>
        <w:t>及司法</w:t>
      </w:r>
      <w:r>
        <w:rPr>
          <w:rFonts w:ascii="楷体_GB2312" w:eastAsia="楷体_GB2312" w:hAnsi="楷体_GB2312" w:cs="楷体_GB2312"/>
          <w:sz w:val="24"/>
        </w:rPr>
        <w:t>“</w:t>
      </w:r>
      <w:r>
        <w:rPr>
          <w:rFonts w:ascii="楷体_GB2312" w:eastAsia="楷体_GB2312" w:hAnsi="楷体_GB2312" w:cs="楷体_GB2312"/>
          <w:sz w:val="24"/>
        </w:rPr>
        <w:t>容错</w:t>
      </w:r>
      <w:r>
        <w:rPr>
          <w:rFonts w:ascii="楷体_GB2312" w:eastAsia="楷体_GB2312" w:hAnsi="楷体_GB2312" w:cs="楷体_GB2312"/>
          <w:sz w:val="24"/>
        </w:rPr>
        <w:t>”</w:t>
      </w:r>
      <w:r>
        <w:rPr>
          <w:rFonts w:ascii="楷体_GB2312" w:eastAsia="楷体_GB2312" w:hAnsi="楷体_GB2312" w:cs="楷体_GB2312"/>
          <w:sz w:val="24"/>
        </w:rPr>
        <w:t>机制之构建</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重庆市第三中级人民法院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陈洪</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类案检索机制的优化路径探索——基于流程再造理论的引入和适用</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四川天府新区成都片区人民法院</w:t>
      </w:r>
      <w:r>
        <w:rPr>
          <w:rFonts w:ascii="楷体_GB2312" w:eastAsia="楷体_GB2312" w:hAnsi="楷体_GB2312" w:cs="楷体_GB2312" w:hint="eastAsia"/>
          <w:sz w:val="24"/>
        </w:rPr>
        <w:t>（</w:t>
      </w:r>
      <w:r>
        <w:rPr>
          <w:rFonts w:ascii="楷体_GB2312" w:eastAsia="楷体_GB2312" w:hAnsi="楷体_GB2312" w:cs="楷体_GB2312" w:hint="eastAsia"/>
          <w:sz w:val="24"/>
        </w:rPr>
        <w:t>四川自由贸易试验区人民法院</w:t>
      </w:r>
      <w:r>
        <w:rPr>
          <w:rFonts w:ascii="楷体_GB2312" w:eastAsia="楷体_GB2312" w:hAnsi="楷体_GB2312" w:cs="楷体_GB2312" w:hint="eastAsia"/>
          <w:sz w:val="24"/>
        </w:rPr>
        <w:t>）</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王雄</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司法资源配置背景下“智慧助理”辅助集成系统平台构建初探</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四川省成都市高新技术产业开发区人民法院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石榴</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人工智能在诉调对接应用中的审视与完善——以提升运行中的供给效率为视</w:t>
      </w:r>
      <w:r>
        <w:rPr>
          <w:rFonts w:ascii="楷体_GB2312" w:eastAsia="楷体_GB2312" w:hAnsi="楷体_GB2312" w:cs="楷体_GB2312" w:hint="eastAsia"/>
          <w:sz w:val="24"/>
        </w:rPr>
        <w:lastRenderedPageBreak/>
        <w:t>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四川省成都高新技术产业开发区人民法院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黄穗</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罗良华</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抛“专”引“预”：涉鉴定类纠纷之风险防控与化解机制研究——以</w:t>
      </w:r>
      <w:r>
        <w:rPr>
          <w:rFonts w:ascii="楷体_GB2312" w:eastAsia="楷体_GB2312" w:hAnsi="楷体_GB2312" w:cs="楷体_GB2312" w:hint="eastAsia"/>
          <w:sz w:val="24"/>
        </w:rPr>
        <w:t>G</w:t>
      </w:r>
      <w:r>
        <w:rPr>
          <w:rFonts w:ascii="楷体_GB2312" w:eastAsia="楷体_GB2312" w:hAnsi="楷体_GB2312" w:cs="楷体_GB2312" w:hint="eastAsia"/>
          <w:sz w:val="24"/>
        </w:rPr>
        <w:t>市法院主导诉前鉴定为切入点</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四川省广元市中级人民法院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张艳秋</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陈锐</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刘利华</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品格证据的客观获取与规范运用机制探索——基于</w:t>
      </w:r>
      <w:r>
        <w:rPr>
          <w:rFonts w:ascii="楷体_GB2312" w:eastAsia="楷体_GB2312" w:hAnsi="楷体_GB2312" w:cs="楷体_GB2312" w:hint="eastAsia"/>
          <w:sz w:val="24"/>
        </w:rPr>
        <w:t>269</w:t>
      </w:r>
      <w:r>
        <w:rPr>
          <w:rFonts w:ascii="楷体_GB2312" w:eastAsia="楷体_GB2312" w:hAnsi="楷体_GB2312" w:cs="楷体_GB2312" w:hint="eastAsia"/>
          <w:sz w:val="24"/>
        </w:rPr>
        <w:t>件涉刑事被告人品行素材的案件分析</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四川省广安市中级人民法院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戴建军</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四川省岳池县人民法院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陈芸莹</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法经济学视角下督促程序的困境反思与路径优化——基于</w:t>
      </w:r>
      <w:r>
        <w:rPr>
          <w:rFonts w:ascii="楷体_GB2312" w:eastAsia="楷体_GB2312" w:hAnsi="楷体_GB2312" w:cs="楷体_GB2312" w:hint="eastAsia"/>
          <w:sz w:val="24"/>
        </w:rPr>
        <w:t>S</w:t>
      </w:r>
      <w:r>
        <w:rPr>
          <w:rFonts w:ascii="楷体_GB2312" w:eastAsia="楷体_GB2312" w:hAnsi="楷体_GB2312" w:cs="楷体_GB2312" w:hint="eastAsia"/>
          <w:sz w:val="24"/>
        </w:rPr>
        <w:t>省</w:t>
      </w:r>
      <w:r>
        <w:rPr>
          <w:rFonts w:ascii="楷体_GB2312" w:eastAsia="楷体_GB2312" w:hAnsi="楷体_GB2312" w:cs="楷体_GB2312" w:hint="eastAsia"/>
          <w:sz w:val="24"/>
        </w:rPr>
        <w:t>C</w:t>
      </w:r>
      <w:r>
        <w:rPr>
          <w:rFonts w:ascii="楷体_GB2312" w:eastAsia="楷体_GB2312" w:hAnsi="楷体_GB2312" w:cs="楷体_GB2312" w:hint="eastAsia"/>
          <w:sz w:val="24"/>
        </w:rPr>
        <w:t>市</w:t>
      </w:r>
      <w:r>
        <w:rPr>
          <w:rFonts w:ascii="楷体_GB2312" w:eastAsia="楷体_GB2312" w:hAnsi="楷体_GB2312" w:cs="楷体_GB2312" w:hint="eastAsia"/>
          <w:sz w:val="24"/>
        </w:rPr>
        <w:t>22</w:t>
      </w:r>
      <w:r>
        <w:rPr>
          <w:rFonts w:ascii="楷体_GB2312" w:eastAsia="楷体_GB2312" w:hAnsi="楷体_GB2312" w:cs="楷体_GB2312" w:hint="eastAsia"/>
          <w:sz w:val="24"/>
        </w:rPr>
        <w:t>家基层法院实证分析的展开</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四</w:t>
      </w:r>
      <w:r>
        <w:rPr>
          <w:rFonts w:ascii="楷体_GB2312" w:eastAsia="楷体_GB2312" w:hAnsi="楷体_GB2312" w:cs="楷体_GB2312" w:hint="eastAsia"/>
          <w:sz w:val="24"/>
        </w:rPr>
        <w:t>川省成都市青羊区人民法院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李潇</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“点线面”立体解纷：从司法供给侧改革角度谈诉源治理</w:t>
      </w:r>
      <w:r>
        <w:rPr>
          <w:rFonts w:ascii="楷体_GB2312" w:eastAsia="楷体_GB2312" w:hAnsi="楷体_GB2312" w:cs="楷体_GB2312" w:hint="eastAsia"/>
          <w:sz w:val="24"/>
        </w:rPr>
        <w:t>——</w:t>
      </w:r>
      <w:r>
        <w:rPr>
          <w:rFonts w:ascii="楷体_GB2312" w:eastAsia="楷体_GB2312" w:hAnsi="楷体_GB2312" w:cs="楷体_GB2312" w:hint="eastAsia"/>
          <w:sz w:val="24"/>
        </w:rPr>
        <w:t>基于近五年来</w:t>
      </w:r>
      <w:r>
        <w:rPr>
          <w:rFonts w:ascii="楷体_GB2312" w:eastAsia="楷体_GB2312" w:hAnsi="楷体_GB2312" w:cs="楷体_GB2312" w:hint="eastAsia"/>
          <w:sz w:val="24"/>
        </w:rPr>
        <w:t>Y</w:t>
      </w:r>
      <w:r>
        <w:rPr>
          <w:rFonts w:ascii="楷体_GB2312" w:eastAsia="楷体_GB2312" w:hAnsi="楷体_GB2312" w:cs="楷体_GB2312" w:hint="eastAsia"/>
          <w:sz w:val="24"/>
        </w:rPr>
        <w:t>县法院受理民商事案件的实证研究</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贵州省沿河土家族自治县人民法院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彭玉帛</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民间借贷风险之司法大数据预警机制构建——基于法院信息化建设的视角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云南省昆明市中级人民法院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夏静良</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张霞</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十步法：指导性案例民事审判应用方法实证研究——以</w:t>
      </w:r>
      <w:r>
        <w:rPr>
          <w:rFonts w:ascii="楷体_GB2312" w:eastAsia="楷体_GB2312" w:hAnsi="楷体_GB2312" w:cs="楷体_GB2312" w:hint="eastAsia"/>
          <w:sz w:val="24"/>
        </w:rPr>
        <w:t>700</w:t>
      </w:r>
      <w:r>
        <w:rPr>
          <w:rFonts w:ascii="楷体_GB2312" w:eastAsia="楷体_GB2312" w:hAnsi="楷体_GB2312" w:cs="楷体_GB2312" w:hint="eastAsia"/>
          <w:sz w:val="24"/>
        </w:rPr>
        <w:t>件民事判决书对指导性案例的应用为考察</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广东省广州市荔湾区人民法院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陈小倩</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西藏自治区高级人民法院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吕大为</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认罪认罚从宽案件中被追诉人反悔上诉问题探析</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lastRenderedPageBreak/>
        <w:t>西藏自治区拉萨市中级人民法院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刘一麟</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福建省厦门市中级人民法院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陆启亮</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法院附设一站式多元解纷机制的路径选择与制度构建——从西部某省会市两级法院的试点样本切入</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陕西省西安市中级人民法院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杜豫苏</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何育凯</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“游戏”改变调解——共享经济视角下《多元化纠纷共享化解平台》模型之构建</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陕西省西安市灞桥区人民法院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陈学义</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韩萌萌</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互联网法院与传统法院知识产权案件管辖的确立规则</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北京市朝阳区人民法院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田琪雅</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陕西省高级人民法院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王琪轩</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论刑事判决非法证据排除说理的方式——以中国裁判文书网</w:t>
      </w:r>
      <w:r>
        <w:rPr>
          <w:rFonts w:ascii="楷体_GB2312" w:eastAsia="楷体_GB2312" w:hAnsi="楷体_GB2312" w:cs="楷体_GB2312" w:hint="eastAsia"/>
          <w:sz w:val="24"/>
        </w:rPr>
        <w:t>308</w:t>
      </w:r>
      <w:r>
        <w:rPr>
          <w:rFonts w:ascii="楷体_GB2312" w:eastAsia="楷体_GB2312" w:hAnsi="楷体_GB2312" w:cs="楷体_GB2312" w:hint="eastAsia"/>
          <w:sz w:val="24"/>
        </w:rPr>
        <w:t>份刑事判决书为分析样本</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陕西省西安市未央区人民法院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李社武</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马俊</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刑事辩护准入制度构建研究——以西部某国家中心城市刑事司法改革试点为样本</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陕西省西安市中级人民法院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常鹏</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如何“参照”：生态环境损害赔偿诉讼撤诉请求的司法审查进路探析</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甘肃省高级人民法院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刘吉旭</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北京市朝阳区人民法院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鞠仁</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环境民事公益诉讼因果关系认定的困境与出路——因果关系实践和理论再出发</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甘肃省高级人民法院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詹王镇</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安徽省芜湖市鸠江区人民法院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冯韵东</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论司法信任的个案累</w:t>
      </w:r>
      <w:r>
        <w:rPr>
          <w:rFonts w:ascii="楷体_GB2312" w:eastAsia="楷体_GB2312" w:hAnsi="楷体_GB2312" w:cs="楷体_GB2312" w:hint="eastAsia"/>
          <w:sz w:val="24"/>
        </w:rPr>
        <w:t>积——以热点刑事案件中民意的诉讼内回应为视点</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青海省高级人民法院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李芹</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福建省泉州市中级人民法院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林艳</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澄滤颓波到底清：不实举报内部澄清保护制度的构建</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青海省高级人民法院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廖海峰</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北京市东城区人民法院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王玫</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李彦宏</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以社会化途径破解生态环境损害赔偿难题——浅谈环境责任保险制度在生态环境损害赔偿金制度中的构建</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青海省西宁市城中区人民法院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朱晓柳</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广东省广州市越秀区人民法院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刘晓纯</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人工智能之光：神经网络算法在刑事审判领域的深度运用</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青海省果洛州中级人民法院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秦措</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北京市东城区人民法院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张若枫</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环境损害鉴定评估意见在环境污染犯罪中认证的困境与出路——以规范法官心证过程为分析视角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青海省高级人民法院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孙启英</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福建省泰宁县人民法院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郑中飞</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马欢欢</w:t>
      </w:r>
    </w:p>
    <w:p w:rsidR="002E67B1" w:rsidRDefault="009C088F">
      <w:pPr>
        <w:rPr>
          <w:rFonts w:ascii="楷体_GB2312" w:eastAsia="楷体_GB2312" w:hAnsi="楷体_GB2312" w:cs="楷体_GB2312"/>
          <w:sz w:val="24"/>
        </w:rPr>
      </w:pPr>
      <w:r>
        <w:rPr>
          <w:rFonts w:ascii="楷体_GB2312" w:eastAsia="楷体_GB2312" w:hAnsi="楷体_GB2312" w:cs="楷体_GB2312"/>
          <w:sz w:val="24"/>
        </w:rPr>
        <w:t>鱼和熊掌如何兼得：法官助理绩效考核指标体系的设计路径</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宁夏回族自治区高级人民法院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杨莹</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福建省厦门市海沧区人民法院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陈芳序</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民族地区非诉讼纠纷解决机制挺在前面的现实障碍与破解——以新疆</w:t>
      </w:r>
      <w:r>
        <w:rPr>
          <w:rFonts w:ascii="楷体_GB2312" w:eastAsia="楷体_GB2312" w:hAnsi="楷体_GB2312" w:cs="楷体_GB2312" w:hint="eastAsia"/>
          <w:sz w:val="24"/>
        </w:rPr>
        <w:t>JS</w:t>
      </w:r>
      <w:r>
        <w:rPr>
          <w:rFonts w:ascii="楷体_GB2312" w:eastAsia="楷体_GB2312" w:hAnsi="楷体_GB2312" w:cs="楷体_GB2312" w:hint="eastAsia"/>
          <w:sz w:val="24"/>
        </w:rPr>
        <w:t>法院多元化解纷探索实践为考察</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新疆维吾尔自治区伽师县人民法院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李军</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诉源治理：构建以行政辖区</w:t>
      </w:r>
      <w:r>
        <w:rPr>
          <w:rFonts w:ascii="楷体_GB2312" w:eastAsia="楷体_GB2312" w:hAnsi="楷体_GB2312" w:cs="楷体_GB2312" w:hint="eastAsia"/>
          <w:sz w:val="24"/>
        </w:rPr>
        <w:t>/</w:t>
      </w:r>
      <w:r>
        <w:rPr>
          <w:rFonts w:ascii="楷体_GB2312" w:eastAsia="楷体_GB2312" w:hAnsi="楷体_GB2312" w:cs="楷体_GB2312" w:hint="eastAsia"/>
          <w:sz w:val="24"/>
        </w:rPr>
        <w:t>县为单位的纠纷受理中心——</w:t>
      </w:r>
      <w:r>
        <w:rPr>
          <w:rFonts w:ascii="楷体_GB2312" w:eastAsia="楷体_GB2312" w:hAnsi="楷体_GB2312" w:cs="楷体_GB2312" w:hint="eastAsia"/>
          <w:sz w:val="24"/>
        </w:rPr>
        <w:t>以</w:t>
      </w:r>
      <w:r>
        <w:rPr>
          <w:rFonts w:ascii="楷体_GB2312" w:eastAsia="楷体_GB2312" w:hAnsi="楷体_GB2312" w:cs="楷体_GB2312" w:hint="eastAsia"/>
          <w:sz w:val="24"/>
        </w:rPr>
        <w:t>“浙江</w:t>
      </w:r>
      <w:r>
        <w:rPr>
          <w:rFonts w:ascii="楷体_GB2312" w:eastAsia="楷体_GB2312" w:hAnsi="楷体_GB2312" w:cs="楷体_GB2312" w:hint="eastAsia"/>
          <w:sz w:val="24"/>
        </w:rPr>
        <w:t>ODR</w:t>
      </w:r>
      <w:r>
        <w:rPr>
          <w:rFonts w:ascii="楷体_GB2312" w:eastAsia="楷体_GB2312" w:hAnsi="楷体_GB2312" w:cs="楷体_GB2312" w:hint="eastAsia"/>
          <w:sz w:val="24"/>
        </w:rPr>
        <w:t>”模式为分析样本</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北京市丰台区人民法院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黄昊</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陈志博</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新疆生产建设兵团第八师中级人民法院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朱秀梅</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同频共振：公务员职务职级并行与法院人员分类管理的冲突与衔接——以公平激励理论为突破口</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北京市顺义区人民法院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王丽媛</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贾晓鹏</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新疆生产建设兵团第八师中级人民法院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杨书钢</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界定与分流：基层法院审判委员会讨论决定在办案件的范围与方向——以《人民法院组织法》第三十七条第一款第二项为视角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广东省佛山市顺德区人民法院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潘惠仪</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新疆生产建设兵团莫</w:t>
      </w:r>
      <w:r>
        <w:rPr>
          <w:rFonts w:ascii="楷体_GB2312" w:eastAsia="楷体_GB2312" w:hAnsi="楷体_GB2312" w:cs="楷体_GB2312" w:hint="eastAsia"/>
          <w:sz w:val="24"/>
        </w:rPr>
        <w:t>索湾垦区人民法院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王媛媛</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基层法院发改案件评查机制功能正向发挥的运行路径探析——以</w:t>
      </w:r>
      <w:r>
        <w:rPr>
          <w:rFonts w:ascii="楷体_GB2312" w:eastAsia="楷体_GB2312" w:hAnsi="楷体_GB2312" w:cs="楷体_GB2312" w:hint="eastAsia"/>
          <w:sz w:val="24"/>
        </w:rPr>
        <w:t>B</w:t>
      </w:r>
      <w:r>
        <w:rPr>
          <w:rFonts w:ascii="楷体_GB2312" w:eastAsia="楷体_GB2312" w:hAnsi="楷体_GB2312" w:cs="楷体_GB2312" w:hint="eastAsia"/>
          <w:sz w:val="24"/>
        </w:rPr>
        <w:t>市基层法院</w:t>
      </w:r>
      <w:r>
        <w:rPr>
          <w:rFonts w:ascii="楷体_GB2312" w:eastAsia="楷体_GB2312" w:hAnsi="楷体_GB2312" w:cs="楷体_GB2312" w:hint="eastAsia"/>
          <w:sz w:val="24"/>
        </w:rPr>
        <w:t>134</w:t>
      </w:r>
      <w:r>
        <w:rPr>
          <w:rFonts w:ascii="楷体_GB2312" w:eastAsia="楷体_GB2312" w:hAnsi="楷体_GB2312" w:cs="楷体_GB2312" w:hint="eastAsia"/>
          <w:sz w:val="24"/>
        </w:rPr>
        <w:t>件被定错发改案件为例</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北京市怀柔区人民法院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戎艳</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李睿熙</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新疆生产建设兵团下野地垦区人民法院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李颖</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离婚冷静期制度适用的困境反思与路径完善——以民事诉讼社会化为视角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北京市昌平区人民法院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张焱</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梁伟伟</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新疆生产建设兵团第八师中级人民法院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王德顺</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“一带一路”倡议下我国国际商事法庭竞争力提升研究——以裁判于域外的承认与执行为核心展开</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福建省莆田市荔城区人民法院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王诺</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福建省仙游县人民法院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郑统</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新疆生产建设兵团莫索湾垦区人民法院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陈刚</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机关法人为被执行人的程序构建——以企业家合法权益有效实现为视角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新疆生产建设兵团第十二师中级人民法院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舒卫平</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湖南省岳阳市云溪区人民法院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闾敏</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湖南省平江县人民法院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胡金谋</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军事行政诉讼试点向军纪处分案件拓展的可能与路径</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中国人民解放军军事法院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张兴坡</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海娃</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内设机构改革背景下基层法院研究室的结构与功能——基于组织结构的中观研究视角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湘潭大学</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李茜</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退休法官返聘制度之构建——以医生为参照</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湘潭大学</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匡少娟</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非诉讼调解机制在医疗纠纷领域的应用——以《医疗纠纷预防和处理条例》为基础</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湖南省法学会</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刘旖旎</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二审合议制的突破与限制性重构——以审判超期上诉案件为视角的思考与探索</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湖南省法学会</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李连春</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专业法官会议前置过滤职能的反思与构建——以微观动机为视角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湖南省法学会</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蒋志强</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劳动争议多元化纠纷解决机制的研究和思考</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湖南省法学会</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胡蕾</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效益法则：专利无效判定</w:t>
      </w:r>
      <w:r>
        <w:rPr>
          <w:rFonts w:ascii="楷体_GB2312" w:eastAsia="楷体_GB2312" w:hAnsi="楷体_GB2312" w:cs="楷体_GB2312" w:hint="eastAsia"/>
          <w:sz w:val="24"/>
        </w:rPr>
        <w:t>案件审理路径探析——以诉讼程序二元构造优化目标为中心视角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华中师范大学</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杨凯</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钟慧敏</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林辉</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刑事诉讼涉外司法翻译的困境解决及制度建构</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华中师范大学</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杨凯</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杨陆平</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林晓清</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基于非诉讼程序建构的遗产管理模式——以民事诉讼制度结构性改革之非诉讼纠纷解决机制前置为视角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华中师范大学</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杨璐嘉</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廖惠敏</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叶鑫欣</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民事二审发回重审裁定书说理的检视与规制</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华中师范大学</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杨凯</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李美</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童大标</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环境民事公益诉讼中行为保全制度的反思与重构</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湖南省法学会</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谢思宇</w:t>
      </w:r>
    </w:p>
    <w:p w:rsidR="002E67B1" w:rsidRDefault="002E67B1">
      <w:pPr>
        <w:jc w:val="center"/>
        <w:rPr>
          <w:rFonts w:ascii="黑体" w:eastAsia="黑体" w:hAnsi="黑体" w:cs="黑体"/>
          <w:color w:val="FF0000"/>
          <w:sz w:val="48"/>
          <w:szCs w:val="48"/>
        </w:rPr>
      </w:pPr>
    </w:p>
    <w:p w:rsidR="002E67B1" w:rsidRDefault="009C088F">
      <w:pPr>
        <w:jc w:val="center"/>
        <w:rPr>
          <w:rFonts w:ascii="黑体" w:eastAsia="黑体" w:hAnsi="宋体"/>
          <w:b/>
          <w:bCs/>
          <w:sz w:val="44"/>
          <w:szCs w:val="44"/>
        </w:rPr>
      </w:pPr>
      <w:r>
        <w:rPr>
          <w:rFonts w:ascii="黑体" w:eastAsia="黑体" w:hAnsi="宋体" w:cs="黑体" w:hint="eastAsia"/>
          <w:b/>
          <w:bCs/>
          <w:sz w:val="44"/>
          <w:szCs w:val="44"/>
        </w:rPr>
        <w:t>优</w:t>
      </w:r>
      <w:r>
        <w:rPr>
          <w:rFonts w:ascii="黑体" w:eastAsia="黑体" w:hAnsi="宋体" w:cs="黑体" w:hint="eastAsia"/>
          <w:b/>
          <w:bCs/>
          <w:sz w:val="44"/>
          <w:szCs w:val="44"/>
        </w:rPr>
        <w:t xml:space="preserve"> </w:t>
      </w:r>
      <w:r>
        <w:rPr>
          <w:rFonts w:ascii="黑体" w:eastAsia="黑体" w:hAnsi="宋体" w:cs="黑体" w:hint="eastAsia"/>
          <w:b/>
          <w:bCs/>
          <w:sz w:val="44"/>
          <w:szCs w:val="44"/>
        </w:rPr>
        <w:t>秀</w:t>
      </w:r>
      <w:r>
        <w:rPr>
          <w:rFonts w:ascii="黑体" w:eastAsia="黑体" w:hAnsi="宋体" w:cs="黑体"/>
          <w:b/>
          <w:bCs/>
          <w:sz w:val="44"/>
          <w:szCs w:val="44"/>
        </w:rPr>
        <w:t xml:space="preserve"> </w:t>
      </w:r>
      <w:r>
        <w:rPr>
          <w:rFonts w:ascii="黑体" w:eastAsia="黑体" w:hAnsi="宋体" w:cs="黑体" w:hint="eastAsia"/>
          <w:b/>
          <w:bCs/>
          <w:sz w:val="44"/>
          <w:szCs w:val="44"/>
        </w:rPr>
        <w:t>奖</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善治传统在法庭参与乡村治理中的继承与创新——以新时代“枫桥经验”为中心</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北京市门头沟区人民法院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张哲</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吕彤儒</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刚柔并济：司法建议法律效力的解构与运用——以法院能动参与社会治理为视角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北京市第三中级人民法院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李春香</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熊静</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故事思维：人民法院工作报告的公众认同度检视与提升</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北京市东城区人民法院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余亚宇</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门莹</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毕晓燕</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从“被动满足”到“主动引导”——智慧法院用户需求管理制度的实践检视及规则构建</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北京互联网法院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佘贵清</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北京市第二中级人民法院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石婕</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北京互联网法院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孙伟</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权力结构语境下的司法经费</w:t>
      </w:r>
      <w:r>
        <w:rPr>
          <w:rFonts w:ascii="楷体_GB2312" w:eastAsia="楷体_GB2312" w:hAnsi="楷体_GB2312" w:cs="楷体_GB2312" w:hint="eastAsia"/>
          <w:sz w:val="24"/>
        </w:rPr>
        <w:t>分级保障模式研究</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北京市第一中级人民法院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仇芳芳</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宁韬</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系统之美：探索案件收结调度的深层规律——案之系统论与人之注意力的融合视角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北京市第二中级人民法院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李俊晔</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北京市大兴区人民法院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刘璨</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生态环境损害赔偿范围的限缩与优化</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北京市第四中级人民法院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方天皓</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民事诉讼中未承担责任的无独立请求权第三人上诉权困境检视与进路探索——以当事人程序保障及与第三人撤销之诉对接为视角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北京市第一中级人民法院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赵小军</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解构与重构：民事诉讼诉前调查令的理性思辨与路径抉择</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北京市门头沟区人民法院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王冬琪</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继承与变革：法庭调查与法庭辩论合并庭审模式探究——以</w:t>
      </w:r>
      <w:r>
        <w:rPr>
          <w:rFonts w:ascii="楷体_GB2312" w:eastAsia="楷体_GB2312" w:hAnsi="楷体_GB2312" w:cs="楷体_GB2312" w:hint="eastAsia"/>
          <w:sz w:val="24"/>
        </w:rPr>
        <w:t>B</w:t>
      </w:r>
      <w:r>
        <w:rPr>
          <w:rFonts w:ascii="楷体_GB2312" w:eastAsia="楷体_GB2312" w:hAnsi="楷体_GB2312" w:cs="楷体_GB2312" w:hint="eastAsia"/>
          <w:sz w:val="24"/>
        </w:rPr>
        <w:t>市</w:t>
      </w:r>
      <w:r>
        <w:rPr>
          <w:rFonts w:ascii="楷体_GB2312" w:eastAsia="楷体_GB2312" w:hAnsi="楷体_GB2312" w:cs="楷体_GB2312" w:hint="eastAsia"/>
          <w:sz w:val="24"/>
        </w:rPr>
        <w:t>E</w:t>
      </w:r>
      <w:r>
        <w:rPr>
          <w:rFonts w:ascii="楷体_GB2312" w:eastAsia="楷体_GB2312" w:hAnsi="楷体_GB2312" w:cs="楷体_GB2312" w:hint="eastAsia"/>
          <w:sz w:val="24"/>
        </w:rPr>
        <w:t>中院</w:t>
      </w:r>
      <w:r>
        <w:rPr>
          <w:rFonts w:ascii="楷体_GB2312" w:eastAsia="楷体_GB2312" w:hAnsi="楷体_GB2312" w:cs="楷体_GB2312" w:hint="eastAsia"/>
          <w:sz w:val="24"/>
        </w:rPr>
        <w:t>168</w:t>
      </w:r>
      <w:r>
        <w:rPr>
          <w:rFonts w:ascii="楷体_GB2312" w:eastAsia="楷体_GB2312" w:hAnsi="楷体_GB2312" w:cs="楷体_GB2312" w:hint="eastAsia"/>
          <w:sz w:val="24"/>
        </w:rPr>
        <w:t>件民事案件为分析样本</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北京市第二中级人民法院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肖大明</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曹华</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以管理人地位中立性原理构建破产网拍规则——现有“管理人独立发拍模式”改造升级</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北京市大兴区人民法院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程立</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熊诗岚</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院庭长执行监督管理权能的分离与规制——以执行实施权配置与监管关系的重构为重心</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北京市怀柔区人民法院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朱春涛</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毛琳</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新媒体时代人民法院涉法网络舆情应对模式构建——以信息生命周</w:t>
      </w:r>
      <w:r>
        <w:rPr>
          <w:rFonts w:ascii="楷体_GB2312" w:eastAsia="楷体_GB2312" w:hAnsi="楷体_GB2312" w:cs="楷体_GB2312" w:hint="eastAsia"/>
          <w:sz w:val="24"/>
        </w:rPr>
        <w:t>期理论为视角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天津市红桥区人民法院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马轶婷</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新型审判管理监督体制背景下审判监督风险库的构建和运用——以类案检索的反向推演为切入点</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天津市河东区人民法院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孙伟</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外部约束与内在激励：基层法院庭长权力的非正式运作及其超越</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天津市滨海新区人民法院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马越</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候华北</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魏星</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规则治理与个案补充：新时代人民法院经济功能的定位与展开——以高级人民法院为样本</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天津市第三中级人民法院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姚强</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天津市第二中级人民法院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王丽平</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提级审理制度的困境及其破解——以制度风险归因分析方法为视角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天津市河西区人民法院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孔倩</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供给侧</w:t>
      </w:r>
      <w:r>
        <w:rPr>
          <w:rFonts w:ascii="楷体_GB2312" w:eastAsia="楷体_GB2312" w:hAnsi="楷体_GB2312" w:cs="楷体_GB2312" w:hint="eastAsia"/>
          <w:sz w:val="24"/>
        </w:rPr>
        <w:t>优化：人民陪审制改革背景下法官指引制度的构建与完善——以</w:t>
      </w:r>
      <w:r>
        <w:rPr>
          <w:rFonts w:ascii="楷体_GB2312" w:eastAsia="楷体_GB2312" w:hAnsi="楷体_GB2312" w:cs="楷体_GB2312" w:hint="eastAsia"/>
          <w:sz w:val="24"/>
        </w:rPr>
        <w:t>T</w:t>
      </w:r>
      <w:r>
        <w:rPr>
          <w:rFonts w:ascii="楷体_GB2312" w:eastAsia="楷体_GB2312" w:hAnsi="楷体_GB2312" w:cs="楷体_GB2312" w:hint="eastAsia"/>
          <w:sz w:val="24"/>
        </w:rPr>
        <w:t>省</w:t>
      </w:r>
      <w:r>
        <w:rPr>
          <w:rFonts w:ascii="楷体_GB2312" w:eastAsia="楷体_GB2312" w:hAnsi="楷体_GB2312" w:cs="楷体_GB2312" w:hint="eastAsia"/>
          <w:sz w:val="24"/>
        </w:rPr>
        <w:t>25</w:t>
      </w:r>
      <w:r>
        <w:rPr>
          <w:rFonts w:ascii="楷体_GB2312" w:eastAsia="楷体_GB2312" w:hAnsi="楷体_GB2312" w:cs="楷体_GB2312" w:hint="eastAsia"/>
          <w:sz w:val="24"/>
        </w:rPr>
        <w:t>家中基层法院法官指引现状为研究样本</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天津市高级人民法院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董扬</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北京市通州区人民法院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刘乙璞</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诉非衔接机制下律师调解制度的实践困境与突围路径</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天津市东丽区人民法院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王立鑫</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陈甜甜</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司法化解纠纷成本探析——以机动车交通事故责任纠纷为例</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天津市高级人民法院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秦华</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天津市津南区人民法院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鲁一男</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商标惩罚性赔偿的司法考察与功能优化——基于全国</w:t>
      </w:r>
      <w:r>
        <w:rPr>
          <w:rFonts w:ascii="楷体_GB2312" w:eastAsia="楷体_GB2312" w:hAnsi="楷体_GB2312" w:cs="楷体_GB2312" w:hint="eastAsia"/>
          <w:sz w:val="24"/>
        </w:rPr>
        <w:t>334</w:t>
      </w:r>
      <w:r>
        <w:rPr>
          <w:rFonts w:ascii="楷体_GB2312" w:eastAsia="楷体_GB2312" w:hAnsi="楷体_GB2312" w:cs="楷体_GB2312" w:hint="eastAsia"/>
          <w:sz w:val="24"/>
        </w:rPr>
        <w:t>件侵害商标权纠纷的案例研究</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天津市高级人民法院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张楠</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生态环境损害赔偿案件类型化下的归责原则适用</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天津铁路运输法院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吕显民</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褚宁</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国家赔偿精神损害抚慰金酌定方法之构建——以各项因素的原因力比较为视角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天津市第一中级人民法院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张淑萍</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困境与突围：行政案件跨区域管辖路径探析——基于《行政诉讼法》第十八条第二款展开</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天津市河西区人民法院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刘华飞</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天津市河东区人民法院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高宏亮</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裁判文书简化与说理并进的逻辑路径——以“争点分论式”家事裁判文书的制作展开</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天津市南开区人民法院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郑博涵</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智慧法院建设背景下区块链电子存证的适用风险及司法审查应对——以三家互联网法院审理的</w:t>
      </w:r>
      <w:r>
        <w:rPr>
          <w:rFonts w:ascii="楷体_GB2312" w:eastAsia="楷体_GB2312" w:hAnsi="楷体_GB2312" w:cs="楷体_GB2312" w:hint="eastAsia"/>
          <w:sz w:val="24"/>
        </w:rPr>
        <w:t>139</w:t>
      </w:r>
      <w:r>
        <w:rPr>
          <w:rFonts w:ascii="楷体_GB2312" w:eastAsia="楷体_GB2312" w:hAnsi="楷体_GB2312" w:cs="楷体_GB2312" w:hint="eastAsia"/>
          <w:sz w:val="24"/>
        </w:rPr>
        <w:t>件案件为引</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天津市红桥区人民法院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刘畅</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形式或实质：案外人执行异议审查中事实查明的审视与重构——以“有限”客观证明责任为切入</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天津市第三中级人民法院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张铮</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郭小峦</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“三同步”工作背景下法院网络舆情重大风险化解机制的探析</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河北省邯郸市中级人民法院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王雪焕</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基于信号传递理论的院庭长个案监督机制研究</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河北省沧州市中级人民法院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张凤梅</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蔺勇</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选择与重构：人民法院案件绩效考评指标体系研究</w:t>
      </w:r>
      <w:r>
        <w:rPr>
          <w:rFonts w:ascii="楷体_GB2312" w:eastAsia="楷体_GB2312" w:hAnsi="楷体_GB2312" w:cs="楷体_GB2312" w:hint="eastAsia"/>
          <w:sz w:val="24"/>
        </w:rPr>
        <w:t>——以</w:t>
      </w:r>
      <w:r>
        <w:rPr>
          <w:rFonts w:ascii="楷体_GB2312" w:eastAsia="楷体_GB2312" w:hAnsi="楷体_GB2312" w:cs="楷体_GB2312" w:hint="eastAsia"/>
          <w:sz w:val="24"/>
        </w:rPr>
        <w:t>S</w:t>
      </w:r>
      <w:r>
        <w:rPr>
          <w:rFonts w:ascii="楷体_GB2312" w:eastAsia="楷体_GB2312" w:hAnsi="楷体_GB2312" w:cs="楷体_GB2312" w:hint="eastAsia"/>
          <w:sz w:val="24"/>
        </w:rPr>
        <w:t>省与其他三省市法院比较分析构建</w:t>
      </w:r>
      <w:r>
        <w:rPr>
          <w:rFonts w:ascii="楷体_GB2312" w:eastAsia="楷体_GB2312" w:hAnsi="楷体_GB2312" w:cs="楷体_GB2312" w:hint="eastAsia"/>
          <w:sz w:val="24"/>
        </w:rPr>
        <w:t>KPI</w:t>
      </w:r>
      <w:r>
        <w:rPr>
          <w:rFonts w:ascii="楷体_GB2312" w:eastAsia="楷体_GB2312" w:hAnsi="楷体_GB2312" w:cs="楷体_GB2312" w:hint="eastAsia"/>
          <w:sz w:val="24"/>
        </w:rPr>
        <w:t>模型</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四川省盐亭县人民法院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王进</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王金燕</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河北省涿州市人民法院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高娟</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“法法衔接”背景下职务犯罪认罪从宽之路径探析——以</w:t>
      </w:r>
      <w:r>
        <w:rPr>
          <w:rFonts w:ascii="楷体_GB2312" w:eastAsia="楷体_GB2312" w:hAnsi="楷体_GB2312" w:cs="楷体_GB2312" w:hint="eastAsia"/>
          <w:sz w:val="24"/>
        </w:rPr>
        <w:t>2019</w:t>
      </w:r>
      <w:r>
        <w:rPr>
          <w:rFonts w:ascii="楷体_GB2312" w:eastAsia="楷体_GB2312" w:hAnsi="楷体_GB2312" w:cs="楷体_GB2312" w:hint="eastAsia"/>
          <w:sz w:val="24"/>
        </w:rPr>
        <w:t>年生效的</w:t>
      </w:r>
      <w:r>
        <w:rPr>
          <w:rFonts w:ascii="楷体_GB2312" w:eastAsia="楷体_GB2312" w:hAnsi="楷体_GB2312" w:cs="楷体_GB2312" w:hint="eastAsia"/>
          <w:sz w:val="24"/>
        </w:rPr>
        <w:t>100</w:t>
      </w:r>
      <w:r>
        <w:rPr>
          <w:rFonts w:ascii="楷体_GB2312" w:eastAsia="楷体_GB2312" w:hAnsi="楷体_GB2312" w:cs="楷体_GB2312" w:hint="eastAsia"/>
          <w:sz w:val="24"/>
        </w:rPr>
        <w:t>份职务犯罪判决书为样本</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河北省沧州市中级人民法院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毛颖</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同案犯在逃的附带民事诉讼赔偿问题研究</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河北省涉县人民法院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江泽鑫</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迎合抑或谦抑：法院在泛娱乐化传播语境中的形象塑造</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北京市通州区人民法院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余海</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山西省河曲县人民法院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周晓丽</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论提升法院司法公信力的困境与出路——以法官心证公开为视角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山西省临汾市中级人民法院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李坤鹏</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北京市丰台区人民法院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罗兆英</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放权与监督的博弈：论法官司法责任惩戒制度的可行路径</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北京市通州区人民法院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龚茜</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孟强</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山西省太原市中级人民法院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张宏</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类型化纠纷诉调对接模式的因素考量与制度完善——以精细诉调对接的环节设置为视角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山西省临汾市中级人民法院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苏立强</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北京市丰台区人民法院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舒翔</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徐舒扬</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诉讼结构视角下刑事速裁程序的检视与完善——基于对</w:t>
      </w:r>
      <w:r>
        <w:rPr>
          <w:rFonts w:ascii="楷体_GB2312" w:eastAsia="楷体_GB2312" w:hAnsi="楷体_GB2312" w:cs="楷体_GB2312" w:hint="eastAsia"/>
          <w:sz w:val="24"/>
        </w:rPr>
        <w:t>436</w:t>
      </w:r>
      <w:r>
        <w:rPr>
          <w:rFonts w:ascii="楷体_GB2312" w:eastAsia="楷体_GB2312" w:hAnsi="楷体_GB2312" w:cs="楷体_GB2312" w:hint="eastAsia"/>
          <w:sz w:val="24"/>
        </w:rPr>
        <w:t>份速裁二审文书的实证分析</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山西省清徐县人民法院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左广</w:t>
      </w:r>
      <w:r>
        <w:rPr>
          <w:rFonts w:ascii="楷体_GB2312" w:eastAsia="楷体_GB2312" w:hAnsi="楷体_GB2312" w:cs="楷体_GB2312" w:hint="eastAsia"/>
          <w:sz w:val="24"/>
        </w:rPr>
        <w:t>强</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北京市第一中级人民法院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张宏宇</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刑事诉讼当庭宣判制度改革研究</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山西省忻州市中级人民法院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张婷</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解构与续造：行政诉讼律师强制代理制度的价值证成与机制完善</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山西省长治市中级人民法院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高鹏</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郭庆菊</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薛思洋</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行政诉讼繁简分流制度的建构</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山西省晋中市中级人民法院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张晓峰</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执行实施法官助理职责范围界定——以执行实施权五权三级体系为基础</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北京市海淀区人民法院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解于申</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山西省晋中市中级人民法院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翟国亮</w:t>
      </w:r>
    </w:p>
    <w:p w:rsidR="002E67B1" w:rsidRDefault="009C088F">
      <w:pPr>
        <w:rPr>
          <w:rFonts w:ascii="楷体_GB2312" w:eastAsia="楷体_GB2312" w:hAnsi="楷体_GB2312" w:cs="楷体_GB2312"/>
          <w:sz w:val="24"/>
        </w:rPr>
      </w:pPr>
      <w:r>
        <w:rPr>
          <w:rFonts w:ascii="楷体_GB2312" w:eastAsia="楷体_GB2312" w:hAnsi="楷体_GB2312" w:cs="楷体_GB2312"/>
          <w:sz w:val="24"/>
        </w:rPr>
        <w:t>“</w:t>
      </w:r>
      <w:r>
        <w:rPr>
          <w:rFonts w:ascii="楷体_GB2312" w:eastAsia="楷体_GB2312" w:hAnsi="楷体_GB2312" w:cs="楷体_GB2312"/>
          <w:sz w:val="24"/>
        </w:rPr>
        <w:t>案多人少</w:t>
      </w:r>
      <w:r>
        <w:rPr>
          <w:rFonts w:ascii="楷体_GB2312" w:eastAsia="楷体_GB2312" w:hAnsi="楷体_GB2312" w:cs="楷体_GB2312"/>
          <w:sz w:val="24"/>
        </w:rPr>
        <w:t>”</w:t>
      </w:r>
      <w:r>
        <w:rPr>
          <w:rFonts w:ascii="楷体_GB2312" w:eastAsia="楷体_GB2312" w:hAnsi="楷体_GB2312" w:cs="楷体_GB2312"/>
          <w:sz w:val="24"/>
        </w:rPr>
        <w:t>矛盾背景下的诉源治理</w:t>
      </w:r>
      <w:r>
        <w:rPr>
          <w:rFonts w:ascii="楷体_GB2312" w:eastAsia="楷体_GB2312" w:hAnsi="楷体_GB2312" w:cs="楷体_GB2312"/>
          <w:sz w:val="24"/>
        </w:rPr>
        <w:t>——</w:t>
      </w:r>
      <w:r>
        <w:rPr>
          <w:rFonts w:ascii="楷体_GB2312" w:eastAsia="楷体_GB2312" w:hAnsi="楷体_GB2312" w:cs="楷体_GB2312"/>
          <w:sz w:val="24"/>
        </w:rPr>
        <w:t>以法院内部案件管理为视角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内蒙古自治区呼伦贝尔市中级人民法院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梁振宇</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北京市房山区人民法院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杨瑞强</w:t>
      </w:r>
    </w:p>
    <w:p w:rsidR="002E67B1" w:rsidRDefault="009C088F">
      <w:pPr>
        <w:rPr>
          <w:rFonts w:ascii="楷体_GB2312" w:eastAsia="楷体_GB2312" w:hAnsi="楷体_GB2312" w:cs="楷体_GB2312"/>
          <w:sz w:val="24"/>
        </w:rPr>
      </w:pPr>
      <w:r>
        <w:rPr>
          <w:rFonts w:ascii="楷体_GB2312" w:eastAsia="楷体_GB2312" w:hAnsi="楷体_GB2312" w:cs="楷体_GB2312"/>
          <w:sz w:val="24"/>
        </w:rPr>
        <w:t>问题与话题：机械司法的症结及其治理</w:t>
      </w:r>
      <w:r>
        <w:rPr>
          <w:rFonts w:ascii="楷体_GB2312" w:eastAsia="楷体_GB2312" w:hAnsi="楷体_GB2312" w:cs="楷体_GB2312"/>
          <w:sz w:val="24"/>
        </w:rPr>
        <w:t>——</w:t>
      </w:r>
      <w:r>
        <w:rPr>
          <w:rFonts w:ascii="楷体_GB2312" w:eastAsia="楷体_GB2312" w:hAnsi="楷体_GB2312" w:cs="楷体_GB2312"/>
          <w:sz w:val="24"/>
        </w:rPr>
        <w:t>以三种裁判思维进路的解构为突破口</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内蒙古自治区呼伦贝尔市中级人民院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栾雪</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北京市朝阳区人民法院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程立武</w:t>
      </w:r>
    </w:p>
    <w:p w:rsidR="002E67B1" w:rsidRDefault="009C088F">
      <w:pPr>
        <w:rPr>
          <w:rFonts w:ascii="楷体_GB2312" w:eastAsia="楷体_GB2312" w:hAnsi="楷体_GB2312" w:cs="楷体_GB2312"/>
          <w:sz w:val="24"/>
        </w:rPr>
      </w:pPr>
      <w:r>
        <w:rPr>
          <w:rFonts w:ascii="楷体_GB2312" w:eastAsia="楷体_GB2312" w:hAnsi="楷体_GB2312" w:cs="楷体_GB2312"/>
          <w:sz w:val="24"/>
        </w:rPr>
        <w:t>诉讼结构优化视角下我国民事诉讼附带上诉制度的构建</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内蒙古自治区呼伦贝尔市中级人民法院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蒋忠顺</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北京市房山区人民法院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于晓君</w:t>
      </w:r>
    </w:p>
    <w:p w:rsidR="002E67B1" w:rsidRDefault="009C088F">
      <w:pPr>
        <w:rPr>
          <w:rFonts w:ascii="楷体_GB2312" w:eastAsia="楷体_GB2312" w:hAnsi="楷体_GB2312" w:cs="楷体_GB2312"/>
          <w:sz w:val="24"/>
        </w:rPr>
      </w:pPr>
      <w:r>
        <w:rPr>
          <w:rFonts w:ascii="楷体_GB2312" w:eastAsia="楷体_GB2312" w:hAnsi="楷体_GB2312" w:cs="楷体_GB2312"/>
          <w:sz w:val="24"/>
        </w:rPr>
        <w:t>环境行政公益诉讼中不履行法定职责的司法判断标准研究</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内蒙古自治区赤峰市中级人民法院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潘永如</w:t>
      </w:r>
      <w:r>
        <w:rPr>
          <w:rFonts w:ascii="楷体_GB2312" w:eastAsia="楷体_GB2312" w:hAnsi="楷体_GB2312" w:cs="楷体_GB2312"/>
          <w:sz w:val="24"/>
        </w:rPr>
        <w:t xml:space="preserve">  </w:t>
      </w:r>
      <w:r>
        <w:rPr>
          <w:rFonts w:ascii="楷体_GB2312" w:eastAsia="楷体_GB2312" w:hAnsi="楷体_GB2312" w:cs="楷体_GB2312"/>
          <w:sz w:val="24"/>
        </w:rPr>
        <w:t>孙艳红</w:t>
      </w:r>
      <w:r>
        <w:rPr>
          <w:rFonts w:ascii="楷体_GB2312" w:eastAsia="楷体_GB2312" w:hAnsi="楷体_GB2312" w:cs="楷体_GB2312"/>
          <w:sz w:val="24"/>
        </w:rPr>
        <w:t xml:space="preserve">  </w:t>
      </w:r>
      <w:r>
        <w:rPr>
          <w:rFonts w:ascii="楷体_GB2312" w:eastAsia="楷体_GB2312" w:hAnsi="楷体_GB2312" w:cs="楷体_GB2312"/>
          <w:sz w:val="24"/>
        </w:rPr>
        <w:t>李哲</w:t>
      </w:r>
    </w:p>
    <w:p w:rsidR="002E67B1" w:rsidRDefault="009C088F">
      <w:pPr>
        <w:rPr>
          <w:rFonts w:ascii="楷体_GB2312" w:eastAsia="楷体_GB2312" w:hAnsi="楷体_GB2312" w:cs="楷体_GB2312"/>
          <w:sz w:val="24"/>
        </w:rPr>
      </w:pPr>
      <w:r>
        <w:rPr>
          <w:rFonts w:ascii="楷体_GB2312" w:eastAsia="楷体_GB2312" w:hAnsi="楷体_GB2312" w:cs="楷体_GB2312"/>
          <w:sz w:val="24"/>
        </w:rPr>
        <w:t>化解与防控非诚信诉讼行为降低司法裁判公信风险对策研究</w:t>
      </w:r>
      <w:r>
        <w:rPr>
          <w:rFonts w:ascii="楷体_GB2312" w:eastAsia="楷体_GB2312" w:hAnsi="楷体_GB2312" w:cs="楷体_GB2312"/>
          <w:sz w:val="24"/>
        </w:rPr>
        <w:t>——</w:t>
      </w:r>
      <w:r>
        <w:rPr>
          <w:rFonts w:ascii="楷体_GB2312" w:eastAsia="楷体_GB2312" w:hAnsi="楷体_GB2312" w:cs="楷体_GB2312"/>
          <w:sz w:val="24"/>
        </w:rPr>
        <w:t>以司法制裁非诚信诉讼行为为视角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内蒙古自治区通辽市中级人民法院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董明华</w:t>
      </w:r>
    </w:p>
    <w:p w:rsidR="002E67B1" w:rsidRDefault="009C088F">
      <w:pPr>
        <w:rPr>
          <w:rFonts w:ascii="楷体_GB2312" w:eastAsia="楷体_GB2312" w:hAnsi="楷体_GB2312" w:cs="楷体_GB2312"/>
          <w:sz w:val="24"/>
        </w:rPr>
      </w:pPr>
      <w:r>
        <w:rPr>
          <w:rFonts w:ascii="楷体_GB2312" w:eastAsia="楷体_GB2312" w:hAnsi="楷体_GB2312" w:cs="楷体_GB2312"/>
          <w:sz w:val="24"/>
        </w:rPr>
        <w:t>以行政司法良性互动机制促进法治政府建设研究</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内蒙古自治区乌海市中级人民法院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任锦曦</w:t>
      </w:r>
    </w:p>
    <w:p w:rsidR="002E67B1" w:rsidRDefault="009C088F">
      <w:pPr>
        <w:rPr>
          <w:rFonts w:ascii="楷体_GB2312" w:eastAsia="楷体_GB2312" w:hAnsi="楷体_GB2312" w:cs="楷体_GB2312"/>
          <w:sz w:val="24"/>
        </w:rPr>
      </w:pPr>
      <w:r>
        <w:rPr>
          <w:rFonts w:ascii="楷体_GB2312" w:eastAsia="楷体_GB2312" w:hAnsi="楷体_GB2312" w:cs="楷体_GB2312"/>
          <w:sz w:val="24"/>
        </w:rPr>
        <w:t>公权侵害法官人身财产名誉权益的防控机制完善</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辽宁省沈阳市中级人民法院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冯国超</w:t>
      </w:r>
    </w:p>
    <w:p w:rsidR="002E67B1" w:rsidRDefault="009C088F">
      <w:pPr>
        <w:rPr>
          <w:rFonts w:ascii="楷体_GB2312" w:eastAsia="楷体_GB2312" w:hAnsi="楷体_GB2312" w:cs="楷体_GB2312"/>
          <w:sz w:val="24"/>
        </w:rPr>
      </w:pPr>
      <w:r>
        <w:rPr>
          <w:rFonts w:ascii="楷体_GB2312" w:eastAsia="楷体_GB2312" w:hAnsi="楷体_GB2312" w:cs="楷体_GB2312"/>
          <w:sz w:val="24"/>
        </w:rPr>
        <w:t>刑事二审开庭审理方式实证研究</w:t>
      </w:r>
      <w:r>
        <w:rPr>
          <w:rFonts w:ascii="楷体_GB2312" w:eastAsia="楷体_GB2312" w:hAnsi="楷体_GB2312" w:cs="楷体_GB2312"/>
          <w:sz w:val="24"/>
        </w:rPr>
        <w:t>——</w:t>
      </w:r>
      <w:r>
        <w:rPr>
          <w:rFonts w:ascii="楷体_GB2312" w:eastAsia="楷体_GB2312" w:hAnsi="楷体_GB2312" w:cs="楷体_GB2312"/>
          <w:sz w:val="24"/>
        </w:rPr>
        <w:t>以</w:t>
      </w:r>
      <w:r>
        <w:rPr>
          <w:rFonts w:ascii="楷体_GB2312" w:eastAsia="楷体_GB2312" w:hAnsi="楷体_GB2312" w:cs="楷体_GB2312"/>
          <w:sz w:val="24"/>
        </w:rPr>
        <w:t>L</w:t>
      </w:r>
      <w:r>
        <w:rPr>
          <w:rFonts w:ascii="楷体_GB2312" w:eastAsia="楷体_GB2312" w:hAnsi="楷体_GB2312" w:cs="楷体_GB2312"/>
          <w:sz w:val="24"/>
        </w:rPr>
        <w:t>省</w:t>
      </w:r>
      <w:r>
        <w:rPr>
          <w:rFonts w:ascii="楷体_GB2312" w:eastAsia="楷体_GB2312" w:hAnsi="楷体_GB2312" w:cs="楷体_GB2312"/>
          <w:sz w:val="24"/>
        </w:rPr>
        <w:t>Y</w:t>
      </w:r>
      <w:r>
        <w:rPr>
          <w:rFonts w:ascii="楷体_GB2312" w:eastAsia="楷体_GB2312" w:hAnsi="楷体_GB2312" w:cs="楷体_GB2312"/>
          <w:sz w:val="24"/>
        </w:rPr>
        <w:t>市中院近三年刑事二审案件为样本</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辽宁省营口市中级人民法院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李靖</w:t>
      </w:r>
      <w:r>
        <w:rPr>
          <w:rFonts w:ascii="楷体_GB2312" w:eastAsia="楷体_GB2312" w:hAnsi="楷体_GB2312" w:cs="楷体_GB2312"/>
          <w:sz w:val="24"/>
        </w:rPr>
        <w:t>宇</w:t>
      </w:r>
      <w:r>
        <w:rPr>
          <w:rFonts w:ascii="楷体_GB2312" w:eastAsia="楷体_GB2312" w:hAnsi="楷体_GB2312" w:cs="楷体_GB2312"/>
          <w:sz w:val="24"/>
        </w:rPr>
        <w:t xml:space="preserve">  </w:t>
      </w:r>
      <w:r>
        <w:rPr>
          <w:rFonts w:ascii="楷体_GB2312" w:eastAsia="楷体_GB2312" w:hAnsi="楷体_GB2312" w:cs="楷体_GB2312"/>
          <w:sz w:val="24"/>
        </w:rPr>
        <w:t>孔湘宁</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司法改革背景下基层法院内设机构之重构——基于</w:t>
      </w:r>
      <w:r>
        <w:rPr>
          <w:rFonts w:ascii="楷体_GB2312" w:eastAsia="楷体_GB2312" w:hAnsi="楷体_GB2312" w:cs="楷体_GB2312" w:hint="eastAsia"/>
          <w:sz w:val="24"/>
        </w:rPr>
        <w:t>S</w:t>
      </w:r>
      <w:r>
        <w:rPr>
          <w:rFonts w:ascii="楷体_GB2312" w:eastAsia="楷体_GB2312" w:hAnsi="楷体_GB2312" w:cs="楷体_GB2312" w:hint="eastAsia"/>
          <w:sz w:val="24"/>
        </w:rPr>
        <w:t>市</w:t>
      </w:r>
      <w:r>
        <w:rPr>
          <w:rFonts w:ascii="楷体_GB2312" w:eastAsia="楷体_GB2312" w:hAnsi="楷体_GB2312" w:cs="楷体_GB2312" w:hint="eastAsia"/>
          <w:sz w:val="24"/>
        </w:rPr>
        <w:t>T</w:t>
      </w:r>
      <w:r>
        <w:rPr>
          <w:rFonts w:ascii="楷体_GB2312" w:eastAsia="楷体_GB2312" w:hAnsi="楷体_GB2312" w:cs="楷体_GB2312" w:hint="eastAsia"/>
          <w:sz w:val="24"/>
        </w:rPr>
        <w:t>区法院内设机构改革的实证分析</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辽宁省沈阳市铁西区人民法院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林思圻</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司法改革背景下智慧法院建设问题研究——以打造服务型的深度应用系统为研究视角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辽宁省辽河中级人民法院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武越群</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司法改革背景下智慧法院和信息化建设问题研究——以基层法院民事审判法官实际办案为视角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辽宁省大连市西岗区人民法院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李霞南</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刑事速裁程序中的效用损失与补偿实现——以法经济学为研究视角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辽宁省沈阳市沈河区人民法院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张桂宏</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孙陶</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冲突中的和谐之道——大数据背景下法院舆情风险的引导与防控</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吉林省长春高新技术产业开发区人民法院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王小磊</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司法改革背景下智慧法院和信息化建设问题研究</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吉林省白山市中级人民法院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王哲</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四级法院功能定位和职权配置问题研究</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吉林省东丰县人民法院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苏航</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法官职业保障的反思</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吉林省吉林市丰满区人民法院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孙子涵</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制度激励视域下我国法院诉前调解制度的完善路径</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吉林省梅河口市人民法院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李冬梅</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云计算、大数据、人工智能、物联网等与法院工作融合的机制研究</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吉林省长春市绿园区人民法院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刘昊</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刑事裁判公众认同的实现——以“二阶层”刑事裁判思维为路径</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北京市第二中级人民法院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何朕</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黑龙江省高级人民法院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刁克岩</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祝婕</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智慧法院之法律职业共同体网络协作平台构建——以刑事案件律师辩护全覆盖为试点领域</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山东省威海市中级人民法院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文博</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黑龙江省高级人民法院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刁克岩</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祝婕</w:t>
      </w:r>
    </w:p>
    <w:p w:rsidR="002E67B1" w:rsidRDefault="009C088F">
      <w:pPr>
        <w:rPr>
          <w:rFonts w:ascii="楷体_GB2312" w:eastAsia="楷体_GB2312" w:hAnsi="楷体_GB2312" w:cs="楷体_GB2312"/>
          <w:sz w:val="24"/>
        </w:rPr>
      </w:pPr>
      <w:r>
        <w:rPr>
          <w:rFonts w:ascii="楷体_GB2312" w:eastAsia="楷体_GB2312" w:hAnsi="楷体_GB2312" w:cs="楷体_GB2312"/>
          <w:sz w:val="24"/>
        </w:rPr>
        <w:t>司法责任视角下基层法官助理培养机制探究</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黑龙江省佳木斯市向阳区人民法院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刘静</w:t>
      </w:r>
    </w:p>
    <w:p w:rsidR="002E67B1" w:rsidRDefault="009C088F">
      <w:pPr>
        <w:rPr>
          <w:rFonts w:ascii="楷体_GB2312" w:eastAsia="楷体_GB2312" w:hAnsi="楷体_GB2312" w:cs="楷体_GB2312"/>
          <w:sz w:val="24"/>
        </w:rPr>
      </w:pPr>
      <w:r>
        <w:rPr>
          <w:rFonts w:ascii="楷体_GB2312" w:eastAsia="楷体_GB2312" w:hAnsi="楷体_GB2312" w:cs="楷体_GB2312"/>
          <w:sz w:val="24"/>
        </w:rPr>
        <w:t>司法多元化改革视角下公证参与司法辅助事务检视与构造</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黑龙江省哈尔滨市道外区人民法院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李默</w:t>
      </w:r>
      <w:r>
        <w:rPr>
          <w:rFonts w:ascii="楷体_GB2312" w:eastAsia="楷体_GB2312" w:hAnsi="楷体_GB2312" w:cs="楷体_GB2312"/>
          <w:sz w:val="24"/>
        </w:rPr>
        <w:t xml:space="preserve">  </w:t>
      </w:r>
      <w:r>
        <w:rPr>
          <w:rFonts w:ascii="楷体_GB2312" w:eastAsia="楷体_GB2312" w:hAnsi="楷体_GB2312" w:cs="楷体_GB2312"/>
          <w:sz w:val="24"/>
        </w:rPr>
        <w:t>吴旭</w:t>
      </w:r>
    </w:p>
    <w:p w:rsidR="002E67B1" w:rsidRDefault="009C088F">
      <w:pPr>
        <w:rPr>
          <w:rFonts w:ascii="楷体_GB2312" w:eastAsia="楷体_GB2312" w:hAnsi="楷体_GB2312" w:cs="楷体_GB2312"/>
          <w:sz w:val="24"/>
        </w:rPr>
      </w:pPr>
      <w:r>
        <w:rPr>
          <w:rFonts w:ascii="楷体_GB2312" w:eastAsia="楷体_GB2312" w:hAnsi="楷体_GB2312" w:cs="楷体_GB2312"/>
          <w:sz w:val="24"/>
        </w:rPr>
        <w:t>数之序也：个人数据权司法保护配套机制的理性建构</w:t>
      </w:r>
      <w:r>
        <w:rPr>
          <w:rFonts w:ascii="楷体_GB2312" w:eastAsia="楷体_GB2312" w:hAnsi="楷体_GB2312" w:cs="楷体_GB2312"/>
          <w:sz w:val="24"/>
        </w:rPr>
        <w:t>—</w:t>
      </w:r>
      <w:r>
        <w:rPr>
          <w:rFonts w:ascii="楷体_GB2312" w:eastAsia="楷体_GB2312" w:hAnsi="楷体_GB2312" w:cs="楷体_GB2312"/>
          <w:sz w:val="24"/>
        </w:rPr>
        <w:t>—</w:t>
      </w:r>
      <w:r>
        <w:rPr>
          <w:rFonts w:ascii="楷体_GB2312" w:eastAsia="楷体_GB2312" w:hAnsi="楷体_GB2312" w:cs="楷体_GB2312"/>
          <w:sz w:val="24"/>
        </w:rPr>
        <w:t>以</w:t>
      </w:r>
      <w:r>
        <w:rPr>
          <w:rFonts w:ascii="楷体_GB2312" w:eastAsia="楷体_GB2312" w:hAnsi="楷体_GB2312" w:cs="楷体_GB2312"/>
          <w:sz w:val="24"/>
        </w:rPr>
        <w:t>11</w:t>
      </w:r>
      <w:r>
        <w:rPr>
          <w:rFonts w:ascii="楷体_GB2312" w:eastAsia="楷体_GB2312" w:hAnsi="楷体_GB2312" w:cs="楷体_GB2312"/>
          <w:sz w:val="24"/>
        </w:rPr>
        <w:t>件数据权纠纷案件为样本</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哈尔滨铁路运输法院</w:t>
      </w:r>
      <w:r>
        <w:rPr>
          <w:rFonts w:ascii="楷体_GB2312" w:eastAsia="楷体_GB2312" w:hAnsi="楷体_GB2312" w:cs="楷体_GB2312" w:hint="eastAsia"/>
          <w:sz w:val="24"/>
        </w:rPr>
        <w:t xml:space="preserve">  </w:t>
      </w:r>
      <w:r>
        <w:rPr>
          <w:rFonts w:ascii="楷体_GB2312" w:eastAsia="楷体_GB2312" w:hAnsi="楷体_GB2312" w:cs="楷体_GB2312"/>
          <w:sz w:val="24"/>
        </w:rPr>
        <w:t>边杨</w:t>
      </w:r>
    </w:p>
    <w:p w:rsidR="002E67B1" w:rsidRDefault="009C088F">
      <w:pPr>
        <w:rPr>
          <w:rFonts w:ascii="楷体_GB2312" w:eastAsia="楷体_GB2312" w:hAnsi="楷体_GB2312" w:cs="楷体_GB2312"/>
          <w:sz w:val="24"/>
        </w:rPr>
      </w:pPr>
      <w:r>
        <w:rPr>
          <w:rFonts w:ascii="楷体_GB2312" w:eastAsia="楷体_GB2312" w:hAnsi="楷体_GB2312" w:cs="楷体_GB2312"/>
          <w:sz w:val="24"/>
        </w:rPr>
        <w:t>检视与完善：基层法院刑事庭前会议制度的新思考</w:t>
      </w:r>
      <w:r>
        <w:rPr>
          <w:rFonts w:ascii="楷体_GB2312" w:eastAsia="楷体_GB2312" w:hAnsi="楷体_GB2312" w:cs="楷体_GB2312"/>
          <w:sz w:val="24"/>
        </w:rPr>
        <w:t>——</w:t>
      </w:r>
      <w:r>
        <w:rPr>
          <w:rFonts w:ascii="楷体_GB2312" w:eastAsia="楷体_GB2312" w:hAnsi="楷体_GB2312" w:cs="楷体_GB2312"/>
          <w:sz w:val="24"/>
        </w:rPr>
        <w:t>以</w:t>
      </w:r>
      <w:r>
        <w:rPr>
          <w:rFonts w:ascii="楷体_GB2312" w:eastAsia="楷体_GB2312" w:hAnsi="楷体_GB2312" w:cs="楷体_GB2312"/>
          <w:sz w:val="24"/>
        </w:rPr>
        <w:t>H</w:t>
      </w:r>
      <w:r>
        <w:rPr>
          <w:rFonts w:ascii="楷体_GB2312" w:eastAsia="楷体_GB2312" w:hAnsi="楷体_GB2312" w:cs="楷体_GB2312"/>
          <w:sz w:val="24"/>
        </w:rPr>
        <w:t>省</w:t>
      </w:r>
      <w:r>
        <w:rPr>
          <w:rFonts w:ascii="楷体_GB2312" w:eastAsia="楷体_GB2312" w:hAnsi="楷体_GB2312" w:cs="楷体_GB2312"/>
          <w:sz w:val="24"/>
        </w:rPr>
        <w:t>S</w:t>
      </w:r>
      <w:r>
        <w:rPr>
          <w:rFonts w:ascii="楷体_GB2312" w:eastAsia="楷体_GB2312" w:hAnsi="楷体_GB2312" w:cs="楷体_GB2312"/>
          <w:sz w:val="24"/>
        </w:rPr>
        <w:t>市</w:t>
      </w:r>
      <w:r>
        <w:rPr>
          <w:rFonts w:ascii="楷体_GB2312" w:eastAsia="楷体_GB2312" w:hAnsi="楷体_GB2312" w:cs="楷体_GB2312"/>
          <w:sz w:val="24"/>
        </w:rPr>
        <w:t>10</w:t>
      </w:r>
      <w:r>
        <w:rPr>
          <w:rFonts w:ascii="楷体_GB2312" w:eastAsia="楷体_GB2312" w:hAnsi="楷体_GB2312" w:cs="楷体_GB2312"/>
          <w:sz w:val="24"/>
        </w:rPr>
        <w:t>家法院运行情况为研究样本</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黑龙江省安达市人民法院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赵世如</w:t>
      </w:r>
      <w:r>
        <w:rPr>
          <w:rFonts w:ascii="楷体_GB2312" w:eastAsia="楷体_GB2312" w:hAnsi="楷体_GB2312" w:cs="楷体_GB2312"/>
          <w:sz w:val="24"/>
        </w:rPr>
        <w:t xml:space="preserve"> </w:t>
      </w:r>
    </w:p>
    <w:p w:rsidR="002E67B1" w:rsidRDefault="009C088F">
      <w:pPr>
        <w:rPr>
          <w:rFonts w:ascii="楷体_GB2312" w:eastAsia="楷体_GB2312" w:hAnsi="楷体_GB2312" w:cs="楷体_GB2312"/>
          <w:sz w:val="24"/>
        </w:rPr>
      </w:pPr>
      <w:r>
        <w:rPr>
          <w:rFonts w:ascii="楷体_GB2312" w:eastAsia="楷体_GB2312" w:hAnsi="楷体_GB2312" w:cs="楷体_GB2312"/>
          <w:sz w:val="24"/>
        </w:rPr>
        <w:t>刑事裁判文书证据说理范式研究</w:t>
      </w:r>
      <w:r>
        <w:rPr>
          <w:rFonts w:ascii="楷体_GB2312" w:eastAsia="楷体_GB2312" w:hAnsi="楷体_GB2312" w:cs="楷体_GB2312"/>
          <w:sz w:val="24"/>
        </w:rPr>
        <w:t>——</w:t>
      </w:r>
      <w:r>
        <w:rPr>
          <w:rFonts w:ascii="楷体_GB2312" w:eastAsia="楷体_GB2312" w:hAnsi="楷体_GB2312" w:cs="楷体_GB2312"/>
          <w:sz w:val="24"/>
        </w:rPr>
        <w:t>基于</w:t>
      </w:r>
      <w:r>
        <w:rPr>
          <w:rFonts w:ascii="楷体_GB2312" w:eastAsia="楷体_GB2312" w:hAnsi="楷体_GB2312" w:cs="楷体_GB2312"/>
          <w:sz w:val="24"/>
        </w:rPr>
        <w:t>500</w:t>
      </w:r>
      <w:r>
        <w:rPr>
          <w:rFonts w:ascii="楷体_GB2312" w:eastAsia="楷体_GB2312" w:hAnsi="楷体_GB2312" w:cs="楷体_GB2312"/>
          <w:sz w:val="24"/>
        </w:rPr>
        <w:t>篇刑事一审裁判文书</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黑龙江省双鸭山市中级人民法院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郭雨晴</w:t>
      </w:r>
    </w:p>
    <w:p w:rsidR="002E67B1" w:rsidRDefault="009C088F">
      <w:pPr>
        <w:rPr>
          <w:rFonts w:ascii="楷体_GB2312" w:eastAsia="楷体_GB2312" w:hAnsi="楷体_GB2312" w:cs="楷体_GB2312"/>
          <w:sz w:val="24"/>
        </w:rPr>
      </w:pPr>
      <w:r>
        <w:rPr>
          <w:rFonts w:ascii="楷体_GB2312" w:eastAsia="楷体_GB2312" w:hAnsi="楷体_GB2312" w:cs="楷体_GB2312"/>
          <w:sz w:val="24"/>
        </w:rPr>
        <w:t>土地征收补偿诉讼中原告资格的厘定</w:t>
      </w:r>
      <w:r>
        <w:rPr>
          <w:rFonts w:ascii="楷体_GB2312" w:eastAsia="楷体_GB2312" w:hAnsi="楷体_GB2312" w:cs="楷体_GB2312"/>
          <w:sz w:val="24"/>
        </w:rPr>
        <w:t>——</w:t>
      </w:r>
      <w:r>
        <w:rPr>
          <w:rFonts w:ascii="楷体_GB2312" w:eastAsia="楷体_GB2312" w:hAnsi="楷体_GB2312" w:cs="楷体_GB2312"/>
          <w:sz w:val="24"/>
        </w:rPr>
        <w:t>以补偿请求权为基础</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黑龙江省牡丹江市中级人民法院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蒋利龙</w:t>
      </w:r>
      <w:r>
        <w:rPr>
          <w:rFonts w:ascii="楷体_GB2312" w:eastAsia="楷体_GB2312" w:hAnsi="楷体_GB2312" w:cs="楷体_GB2312"/>
          <w:sz w:val="24"/>
        </w:rPr>
        <w:t xml:space="preserve">  </w:t>
      </w:r>
      <w:r>
        <w:rPr>
          <w:rFonts w:ascii="楷体_GB2312" w:eastAsia="楷体_GB2312" w:hAnsi="楷体_GB2312" w:cs="楷体_GB2312"/>
          <w:sz w:val="24"/>
        </w:rPr>
        <w:t>张晓行</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民事诉讼视角下“套路贷”行为的识别与规制——基于中国裁判文书网</w:t>
      </w:r>
      <w:r>
        <w:rPr>
          <w:rFonts w:ascii="楷体_GB2312" w:eastAsia="楷体_GB2312" w:hAnsi="楷体_GB2312" w:cs="楷体_GB2312" w:hint="eastAsia"/>
          <w:sz w:val="24"/>
        </w:rPr>
        <w:t>2798</w:t>
      </w:r>
      <w:r>
        <w:rPr>
          <w:rFonts w:ascii="楷体_GB2312" w:eastAsia="楷体_GB2312" w:hAnsi="楷体_GB2312" w:cs="楷体_GB2312" w:hint="eastAsia"/>
          <w:sz w:val="24"/>
        </w:rPr>
        <w:t>份民事裁判文书的分析</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黑龙江省农垦中级法院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刘星海</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侯洵</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黑龙江省九三人民法院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张爽</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理论与实证：民事诉讼附带上诉制度的建构</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北京市第三中级人民法院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田晔</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黑龙江省绥化市中级人民法院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王贺</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黑龙江省佳木斯市中级人民法院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霍红光</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刀刃向内视角下执行全流程再造——从“一人包案”到“分段集约”再到“全流程”的</w:t>
      </w:r>
      <w:r>
        <w:rPr>
          <w:rFonts w:ascii="楷体_GB2312" w:eastAsia="楷体_GB2312" w:hAnsi="楷体_GB2312" w:cs="楷体_GB2312" w:hint="eastAsia"/>
          <w:sz w:val="24"/>
        </w:rPr>
        <w:t>3.0</w:t>
      </w:r>
      <w:r>
        <w:rPr>
          <w:rFonts w:ascii="楷体_GB2312" w:eastAsia="楷体_GB2312" w:hAnsi="楷体_GB2312" w:cs="楷体_GB2312" w:hint="eastAsia"/>
          <w:sz w:val="24"/>
        </w:rPr>
        <w:t>版本</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山东省临沭县人民法院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杨维松</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黑龙江省高级人民法院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奚萌萌</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鲁岩</w:t>
      </w:r>
    </w:p>
    <w:p w:rsidR="002E67B1" w:rsidRDefault="009C088F">
      <w:pPr>
        <w:rPr>
          <w:rFonts w:ascii="楷体_GB2312" w:eastAsia="楷体_GB2312" w:hAnsi="楷体_GB2312" w:cs="楷体_GB2312"/>
          <w:sz w:val="24"/>
        </w:rPr>
      </w:pPr>
      <w:r>
        <w:rPr>
          <w:rFonts w:ascii="楷体_GB2312" w:eastAsia="楷体_GB2312" w:hAnsi="楷体_GB2312" w:cs="楷体_GB2312"/>
          <w:sz w:val="24"/>
        </w:rPr>
        <w:t>互联网案件审理模式的一体化建构问题探索</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上海市长宁区人民法院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孙海峰</w:t>
      </w:r>
      <w:r>
        <w:rPr>
          <w:rFonts w:ascii="楷体_GB2312" w:eastAsia="楷体_GB2312" w:hAnsi="楷体_GB2312" w:cs="楷体_GB2312"/>
          <w:sz w:val="24"/>
        </w:rPr>
        <w:t xml:space="preserve">  </w:t>
      </w:r>
      <w:r>
        <w:rPr>
          <w:rFonts w:ascii="楷体_GB2312" w:eastAsia="楷体_GB2312" w:hAnsi="楷体_GB2312" w:cs="楷体_GB2312"/>
          <w:sz w:val="24"/>
        </w:rPr>
        <w:t>赵琛琛</w:t>
      </w:r>
      <w:r>
        <w:rPr>
          <w:rFonts w:ascii="楷体_GB2312" w:eastAsia="楷体_GB2312" w:hAnsi="楷体_GB2312" w:cs="楷体_GB2312"/>
          <w:sz w:val="24"/>
        </w:rPr>
        <w:t xml:space="preserve">  </w:t>
      </w:r>
      <w:r>
        <w:rPr>
          <w:rFonts w:ascii="楷体_GB2312" w:eastAsia="楷体_GB2312" w:hAnsi="楷体_GB2312" w:cs="楷体_GB2312"/>
          <w:sz w:val="24"/>
        </w:rPr>
        <w:t>邓鑫</w:t>
      </w:r>
    </w:p>
    <w:p w:rsidR="002E67B1" w:rsidRDefault="009C088F">
      <w:pPr>
        <w:rPr>
          <w:rFonts w:ascii="楷体_GB2312" w:eastAsia="楷体_GB2312" w:hAnsi="楷体_GB2312" w:cs="楷体_GB2312"/>
          <w:sz w:val="24"/>
        </w:rPr>
      </w:pPr>
      <w:r>
        <w:rPr>
          <w:rFonts w:ascii="楷体_GB2312" w:eastAsia="楷体_GB2312" w:hAnsi="楷体_GB2312" w:cs="楷体_GB2312"/>
          <w:sz w:val="24"/>
        </w:rPr>
        <w:t>人民法院审判关联组织相互关系优化研究</w:t>
      </w:r>
      <w:r>
        <w:rPr>
          <w:rFonts w:ascii="楷体_GB2312" w:eastAsia="楷体_GB2312" w:hAnsi="楷体_GB2312" w:cs="楷体_GB2312"/>
          <w:sz w:val="24"/>
        </w:rPr>
        <w:t>——</w:t>
      </w:r>
      <w:r>
        <w:rPr>
          <w:rFonts w:ascii="楷体_GB2312" w:eastAsia="楷体_GB2312" w:hAnsi="楷体_GB2312" w:cs="楷体_GB2312"/>
          <w:sz w:val="24"/>
        </w:rPr>
        <w:t>以科层制与扁平化的平衡为视角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上海市徐汇区人民法院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陈记平</w:t>
      </w:r>
    </w:p>
    <w:p w:rsidR="002E67B1" w:rsidRDefault="009C088F">
      <w:pPr>
        <w:rPr>
          <w:rFonts w:ascii="楷体_GB2312" w:eastAsia="楷体_GB2312" w:hAnsi="楷体_GB2312" w:cs="楷体_GB2312"/>
          <w:sz w:val="24"/>
        </w:rPr>
      </w:pPr>
      <w:r>
        <w:rPr>
          <w:rFonts w:ascii="楷体_GB2312" w:eastAsia="楷体_GB2312" w:hAnsi="楷体_GB2312" w:cs="楷体_GB2312"/>
          <w:sz w:val="24"/>
        </w:rPr>
        <w:t>知识产权侵权获利赔偿</w:t>
      </w:r>
      <w:r>
        <w:rPr>
          <w:rFonts w:ascii="楷体_GB2312" w:eastAsia="楷体_GB2312" w:hAnsi="楷体_GB2312" w:cs="楷体_GB2312"/>
          <w:sz w:val="24"/>
        </w:rPr>
        <w:t>“</w:t>
      </w:r>
      <w:r>
        <w:rPr>
          <w:rFonts w:ascii="楷体_GB2312" w:eastAsia="楷体_GB2312" w:hAnsi="楷体_GB2312" w:cs="楷体_GB2312"/>
          <w:sz w:val="24"/>
        </w:rPr>
        <w:t>断崖式改判</w:t>
      </w:r>
      <w:r>
        <w:rPr>
          <w:rFonts w:ascii="楷体_GB2312" w:eastAsia="楷体_GB2312" w:hAnsi="楷体_GB2312" w:cs="楷体_GB2312"/>
          <w:sz w:val="24"/>
        </w:rPr>
        <w:t>”</w:t>
      </w:r>
      <w:r>
        <w:rPr>
          <w:rFonts w:ascii="楷体_GB2312" w:eastAsia="楷体_GB2312" w:hAnsi="楷体_GB2312" w:cs="楷体_GB2312"/>
          <w:sz w:val="24"/>
        </w:rPr>
        <w:t>风险与裁量权规范研究</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上海市徐汇区人民法院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张敏</w:t>
      </w:r>
    </w:p>
    <w:p w:rsidR="002E67B1" w:rsidRDefault="009C088F">
      <w:pPr>
        <w:rPr>
          <w:rFonts w:ascii="楷体_GB2312" w:eastAsia="楷体_GB2312" w:hAnsi="楷体_GB2312" w:cs="楷体_GB2312"/>
          <w:sz w:val="24"/>
        </w:rPr>
      </w:pPr>
      <w:r>
        <w:rPr>
          <w:rFonts w:ascii="楷体_GB2312" w:eastAsia="楷体_GB2312" w:hAnsi="楷体_GB2312" w:cs="楷体_GB2312"/>
          <w:sz w:val="24"/>
        </w:rPr>
        <w:t>实践与规范：环境修复责任的绿色价值与实现进路</w:t>
      </w:r>
      <w:r>
        <w:rPr>
          <w:rFonts w:ascii="楷体_GB2312" w:eastAsia="楷体_GB2312" w:hAnsi="楷体_GB2312" w:cs="楷体_GB2312"/>
          <w:sz w:val="24"/>
        </w:rPr>
        <w:t>——</w:t>
      </w:r>
      <w:r>
        <w:rPr>
          <w:rFonts w:ascii="楷体_GB2312" w:eastAsia="楷体_GB2312" w:hAnsi="楷体_GB2312" w:cs="楷体_GB2312"/>
          <w:sz w:val="24"/>
        </w:rPr>
        <w:t>基于中国裁判文书网</w:t>
      </w:r>
      <w:r>
        <w:rPr>
          <w:rFonts w:ascii="楷体_GB2312" w:eastAsia="楷体_GB2312" w:hAnsi="楷体_GB2312" w:cs="楷体_GB2312"/>
          <w:sz w:val="24"/>
        </w:rPr>
        <w:t>497</w:t>
      </w:r>
      <w:r>
        <w:rPr>
          <w:rFonts w:ascii="楷体_GB2312" w:eastAsia="楷体_GB2312" w:hAnsi="楷体_GB2312" w:cs="楷体_GB2312"/>
          <w:sz w:val="24"/>
        </w:rPr>
        <w:t>份裁判文书的样本分析</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上海铁路运输法院</w:t>
      </w:r>
      <w:r>
        <w:rPr>
          <w:rFonts w:ascii="楷体_GB2312" w:eastAsia="楷体_GB2312" w:hAnsi="楷体_GB2312" w:cs="楷体_GB2312" w:hint="eastAsia"/>
          <w:sz w:val="24"/>
        </w:rPr>
        <w:t xml:space="preserve">  </w:t>
      </w:r>
      <w:r>
        <w:rPr>
          <w:rFonts w:ascii="楷体_GB2312" w:eastAsia="楷体_GB2312" w:hAnsi="楷体_GB2312" w:cs="楷体_GB2312"/>
          <w:sz w:val="24"/>
        </w:rPr>
        <w:t>王亚萌</w:t>
      </w:r>
    </w:p>
    <w:p w:rsidR="002E67B1" w:rsidRDefault="009C088F">
      <w:pPr>
        <w:rPr>
          <w:rFonts w:ascii="楷体_GB2312" w:eastAsia="楷体_GB2312" w:hAnsi="楷体_GB2312" w:cs="楷体_GB2312"/>
          <w:sz w:val="24"/>
        </w:rPr>
      </w:pPr>
      <w:r>
        <w:rPr>
          <w:rFonts w:ascii="楷体_GB2312" w:eastAsia="楷体_GB2312" w:hAnsi="楷体_GB2312" w:cs="楷体_GB2312"/>
          <w:sz w:val="24"/>
        </w:rPr>
        <w:t>我国国际商事法庭的实践考察、制度逻辑和体系构建</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上海市高级人民法院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叶锋</w:t>
      </w:r>
    </w:p>
    <w:p w:rsidR="002E67B1" w:rsidRDefault="009C088F">
      <w:pPr>
        <w:rPr>
          <w:rFonts w:ascii="楷体_GB2312" w:eastAsia="楷体_GB2312" w:hAnsi="楷体_GB2312" w:cs="楷体_GB2312"/>
          <w:sz w:val="24"/>
        </w:rPr>
      </w:pPr>
      <w:r>
        <w:rPr>
          <w:rFonts w:ascii="楷体_GB2312" w:eastAsia="楷体_GB2312" w:hAnsi="楷体_GB2312" w:cs="楷体_GB2312"/>
          <w:sz w:val="24"/>
        </w:rPr>
        <w:t>论预备性合并之诉的功能与规制</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上海市高级人民法院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周量</w:t>
      </w:r>
      <w:r>
        <w:rPr>
          <w:rFonts w:ascii="楷体_GB2312" w:eastAsia="楷体_GB2312" w:hAnsi="楷体_GB2312" w:cs="楷体_GB2312"/>
          <w:sz w:val="24"/>
        </w:rPr>
        <w:t xml:space="preserve">  </w:t>
      </w:r>
      <w:r>
        <w:rPr>
          <w:rFonts w:ascii="楷体_GB2312" w:eastAsia="楷体_GB2312" w:hAnsi="楷体_GB2312" w:cs="楷体_GB2312"/>
          <w:sz w:val="24"/>
        </w:rPr>
        <w:t>徐驰</w:t>
      </w:r>
    </w:p>
    <w:p w:rsidR="002E67B1" w:rsidRDefault="009C088F">
      <w:pPr>
        <w:rPr>
          <w:rFonts w:ascii="楷体_GB2312" w:eastAsia="楷体_GB2312" w:hAnsi="楷体_GB2312" w:cs="楷体_GB2312"/>
          <w:sz w:val="24"/>
        </w:rPr>
      </w:pPr>
      <w:r>
        <w:rPr>
          <w:rFonts w:ascii="楷体_GB2312" w:eastAsia="楷体_GB2312" w:hAnsi="楷体_GB2312" w:cs="楷体_GB2312"/>
          <w:sz w:val="24"/>
        </w:rPr>
        <w:t>《新加坡公约》下我国执行国际商事和解协议路径探索</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上海市第一中级人民法院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戴欣媛</w:t>
      </w:r>
    </w:p>
    <w:p w:rsidR="002E67B1" w:rsidRDefault="009C088F">
      <w:pPr>
        <w:rPr>
          <w:rFonts w:ascii="楷体_GB2312" w:eastAsia="楷体_GB2312" w:hAnsi="楷体_GB2312" w:cs="楷体_GB2312"/>
          <w:sz w:val="24"/>
        </w:rPr>
      </w:pPr>
      <w:r>
        <w:rPr>
          <w:rFonts w:ascii="楷体_GB2312" w:eastAsia="楷体_GB2312" w:hAnsi="楷体_GB2312" w:cs="楷体_GB2312"/>
          <w:sz w:val="24"/>
        </w:rPr>
        <w:t>防范化解重大风险视阈下平行诉讼制度的反思与完善</w:t>
      </w:r>
      <w:r>
        <w:rPr>
          <w:rFonts w:ascii="楷体_GB2312" w:eastAsia="楷体_GB2312" w:hAnsi="楷体_GB2312" w:cs="楷体_GB2312"/>
          <w:sz w:val="24"/>
        </w:rPr>
        <w:t>——</w:t>
      </w:r>
      <w:r>
        <w:rPr>
          <w:rFonts w:ascii="楷体_GB2312" w:eastAsia="楷体_GB2312" w:hAnsi="楷体_GB2312" w:cs="楷体_GB2312"/>
          <w:sz w:val="24"/>
        </w:rPr>
        <w:t>以</w:t>
      </w:r>
      <w:r>
        <w:rPr>
          <w:rFonts w:ascii="楷体_GB2312" w:eastAsia="楷体_GB2312" w:hAnsi="楷体_GB2312" w:cs="楷体_GB2312"/>
          <w:sz w:val="24"/>
        </w:rPr>
        <w:t>90</w:t>
      </w:r>
      <w:r>
        <w:rPr>
          <w:rFonts w:ascii="楷体_GB2312" w:eastAsia="楷体_GB2312" w:hAnsi="楷体_GB2312" w:cs="楷体_GB2312"/>
          <w:sz w:val="24"/>
        </w:rPr>
        <w:t>份裁判文书的实证分析为视角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上海市杨浦区人民法院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姚竞燕</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上海市第一中级人民法院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徐文进</w:t>
      </w:r>
    </w:p>
    <w:p w:rsidR="002E67B1" w:rsidRDefault="009C088F">
      <w:pPr>
        <w:rPr>
          <w:rFonts w:ascii="楷体_GB2312" w:eastAsia="楷体_GB2312" w:hAnsi="楷体_GB2312" w:cs="楷体_GB2312"/>
          <w:sz w:val="24"/>
        </w:rPr>
      </w:pPr>
      <w:r>
        <w:rPr>
          <w:rFonts w:ascii="楷体_GB2312" w:eastAsia="楷体_GB2312" w:hAnsi="楷体_GB2312" w:cs="楷体_GB2312"/>
          <w:sz w:val="24"/>
        </w:rPr>
        <w:t>行为保全制度的规则确定与机制优化</w:t>
      </w:r>
      <w:r>
        <w:rPr>
          <w:rFonts w:ascii="楷体_GB2312" w:eastAsia="楷体_GB2312" w:hAnsi="楷体_GB2312" w:cs="楷体_GB2312"/>
          <w:sz w:val="24"/>
        </w:rPr>
        <w:t>——</w:t>
      </w:r>
      <w:r>
        <w:rPr>
          <w:rFonts w:ascii="楷体_GB2312" w:eastAsia="楷体_GB2312" w:hAnsi="楷体_GB2312" w:cs="楷体_GB2312"/>
          <w:sz w:val="24"/>
        </w:rPr>
        <w:t>以</w:t>
      </w:r>
      <w:r>
        <w:rPr>
          <w:rFonts w:ascii="楷体_GB2312" w:eastAsia="楷体_GB2312" w:hAnsi="楷体_GB2312" w:cs="楷体_GB2312"/>
          <w:sz w:val="24"/>
        </w:rPr>
        <w:t>S</w:t>
      </w:r>
      <w:r>
        <w:rPr>
          <w:rFonts w:ascii="楷体_GB2312" w:eastAsia="楷体_GB2312" w:hAnsi="楷体_GB2312" w:cs="楷体_GB2312"/>
          <w:sz w:val="24"/>
        </w:rPr>
        <w:t>市法院六年来行为保全数据为分析视角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上海市普陀区人民法院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胡超</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回归与延伸：融入社会治理的基层司法运行——兼论人民法庭的运行现状与职能完善</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江苏省泰州市中级人民法院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w:t>
      </w:r>
      <w:r>
        <w:rPr>
          <w:rFonts w:ascii="楷体_GB2312" w:eastAsia="楷体_GB2312" w:hAnsi="楷体_GB2312" w:cs="楷体_GB2312" w:hint="eastAsia"/>
          <w:sz w:val="24"/>
        </w:rPr>
        <w:t>霖</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从个案模糊预判到评估机制完善</w:t>
      </w:r>
      <w:r>
        <w:rPr>
          <w:rFonts w:ascii="楷体_GB2312" w:eastAsia="楷体_GB2312" w:hAnsi="楷体_GB2312" w:cs="楷体_GB2312" w:hint="eastAsia"/>
          <w:sz w:val="24"/>
        </w:rPr>
        <w:t>:</w:t>
      </w:r>
      <w:r>
        <w:rPr>
          <w:rFonts w:ascii="楷体_GB2312" w:eastAsia="楷体_GB2312" w:hAnsi="楷体_GB2312" w:cs="楷体_GB2312" w:hint="eastAsia"/>
          <w:sz w:val="24"/>
        </w:rPr>
        <w:t>论重大敏感案件风险评估体系构建</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江苏省宿迁市中级人民法院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贾银亮</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司法公信力进路解析：论民事案件裁判结果风险评估机制的建构</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江苏省宿迁市中级人民法院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程黎明</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段娜</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“类案不同判”引发的司法风险点研究——以《公司法》第</w:t>
      </w:r>
      <w:r>
        <w:rPr>
          <w:rFonts w:ascii="楷体_GB2312" w:eastAsia="楷体_GB2312" w:hAnsi="楷体_GB2312" w:cs="楷体_GB2312" w:hint="eastAsia"/>
          <w:sz w:val="24"/>
        </w:rPr>
        <w:t>16</w:t>
      </w:r>
      <w:r>
        <w:rPr>
          <w:rFonts w:ascii="楷体_GB2312" w:eastAsia="楷体_GB2312" w:hAnsi="楷体_GB2312" w:cs="楷体_GB2312" w:hint="eastAsia"/>
          <w:sz w:val="24"/>
        </w:rPr>
        <w:t>条规则的适用演变为视角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江苏省南京市浦口区人民法院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周超</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司法责任制改革后法官审判权事中规制的漏洞及修复</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江苏省常州市中级人民法院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龙海阳</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法院外部人员参加审判委员会案件讨论程序问题探析</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江苏省盐城经济技术开发区人民法院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刘雅男</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法官视角下绩效考核制度的定位矫正与制度完善——以</w:t>
      </w:r>
      <w:r>
        <w:rPr>
          <w:rFonts w:ascii="楷体_GB2312" w:eastAsia="楷体_GB2312" w:hAnsi="楷体_GB2312" w:cs="楷体_GB2312" w:hint="eastAsia"/>
          <w:sz w:val="24"/>
        </w:rPr>
        <w:t>J</w:t>
      </w:r>
      <w:r>
        <w:rPr>
          <w:rFonts w:ascii="楷体_GB2312" w:eastAsia="楷体_GB2312" w:hAnsi="楷体_GB2312" w:cs="楷体_GB2312" w:hint="eastAsia"/>
          <w:sz w:val="24"/>
        </w:rPr>
        <w:t>省</w:t>
      </w:r>
      <w:r>
        <w:rPr>
          <w:rFonts w:ascii="楷体_GB2312" w:eastAsia="楷体_GB2312" w:hAnsi="楷体_GB2312" w:cs="楷体_GB2312" w:hint="eastAsia"/>
          <w:sz w:val="24"/>
        </w:rPr>
        <w:t>X</w:t>
      </w:r>
      <w:r>
        <w:rPr>
          <w:rFonts w:ascii="楷体_GB2312" w:eastAsia="楷体_GB2312" w:hAnsi="楷体_GB2312" w:cs="楷体_GB2312" w:hint="eastAsia"/>
          <w:sz w:val="24"/>
        </w:rPr>
        <w:t>市两级法院为样本</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江苏省徐州市中级人民法院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课题组</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平衡与纠偏：司法改革背景下法律适用统一问题的理性思辨与路径选择</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江苏省睢宁县人民法院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袁长伟</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赵参参</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刑事抗辩事由的性质识别及其证明——论刑事举证责任转换机制的构建</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江苏省宿迁市中级人民法院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孙泳</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行政允诺司法审查标准的三阶层构造</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江苏省南京市中级人民法院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葛明秀</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姚坤</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“热运行”背后的“冷思考”：繁简分流制度的检视和完善——以“动态差异识别</w:t>
      </w:r>
      <w:r>
        <w:rPr>
          <w:rFonts w:ascii="楷体_GB2312" w:eastAsia="楷体_GB2312" w:hAnsi="楷体_GB2312" w:cs="楷体_GB2312" w:hint="eastAsia"/>
          <w:sz w:val="24"/>
        </w:rPr>
        <w:t>+</w:t>
      </w:r>
      <w:r>
        <w:rPr>
          <w:rFonts w:ascii="楷体_GB2312" w:eastAsia="楷体_GB2312" w:hAnsi="楷体_GB2312" w:cs="楷体_GB2312" w:hint="eastAsia"/>
          <w:sz w:val="24"/>
        </w:rPr>
        <w:t>人案配比优化”为进路</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江苏省高级人民法院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张龑</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江苏省南京市中级人民法院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程财</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民事诉讼中禁反言原则的不当运用及司法规制——以</w:t>
      </w:r>
      <w:r>
        <w:rPr>
          <w:rFonts w:ascii="楷体_GB2312" w:eastAsia="楷体_GB2312" w:hAnsi="楷体_GB2312" w:cs="楷体_GB2312" w:hint="eastAsia"/>
          <w:sz w:val="24"/>
        </w:rPr>
        <w:t>J</w:t>
      </w:r>
      <w:r>
        <w:rPr>
          <w:rFonts w:ascii="楷体_GB2312" w:eastAsia="楷体_GB2312" w:hAnsi="楷体_GB2312" w:cs="楷体_GB2312" w:hint="eastAsia"/>
          <w:sz w:val="24"/>
        </w:rPr>
        <w:t>省</w:t>
      </w:r>
      <w:r>
        <w:rPr>
          <w:rFonts w:ascii="楷体_GB2312" w:eastAsia="楷体_GB2312" w:hAnsi="楷体_GB2312" w:cs="楷体_GB2312" w:hint="eastAsia"/>
          <w:sz w:val="24"/>
        </w:rPr>
        <w:t>1477</w:t>
      </w:r>
      <w:r>
        <w:rPr>
          <w:rFonts w:ascii="楷体_GB2312" w:eastAsia="楷体_GB2312" w:hAnsi="楷体_GB2312" w:cs="楷体_GB2312" w:hint="eastAsia"/>
          <w:sz w:val="24"/>
        </w:rPr>
        <w:t>份裁判文书为分析视角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江苏省淮安市中级人民法院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朱佩</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马玉宝</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司法改革视野下“诉源治理”的破局之路——以非诉讼纠纷解决机制系统建构与优化为视角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浙江省嘉兴市南湖区人民法院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宋健</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陈叶君</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论民事审判的竞技主义难题及其纾解——以舆情风险防范为切入点</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浙江省平湖市人民法院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马德志</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法院内部组</w:t>
      </w:r>
      <w:r>
        <w:rPr>
          <w:rFonts w:ascii="楷体_GB2312" w:eastAsia="楷体_GB2312" w:hAnsi="楷体_GB2312" w:cs="楷体_GB2312" w:hint="eastAsia"/>
          <w:sz w:val="24"/>
        </w:rPr>
        <w:t>织架构优化的基本逻辑及其展开——以“审判</w:t>
      </w:r>
      <w:r>
        <w:rPr>
          <w:rFonts w:ascii="楷体_GB2312" w:eastAsia="楷体_GB2312" w:hAnsi="楷体_GB2312" w:cs="楷体_GB2312" w:hint="eastAsia"/>
          <w:sz w:val="24"/>
        </w:rPr>
        <w:t>VS</w:t>
      </w:r>
      <w:r>
        <w:rPr>
          <w:rFonts w:ascii="楷体_GB2312" w:eastAsia="楷体_GB2312" w:hAnsi="楷体_GB2312" w:cs="楷体_GB2312" w:hint="eastAsia"/>
          <w:sz w:val="24"/>
        </w:rPr>
        <w:t>管理”二维权责厘清为视角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浙江省舟山市中级人民法院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房晓娇</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人工智能介质下审判路径范式构建透析——法律知识图谱的模型构建</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杭州互联网法院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叶胜男</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浙江省高级人民法院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李波</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法院整体回避问题研究——程序公正视野下从个体回避到整体回避的扩张</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浙江省桐庐县人民法院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兰世民</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律师协会处分行为之司法救济策论——以法律职业共同体之行政诉讼化解法律服务风险为视角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浙江省湖州市中级人民法院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赵龙</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司法公信力视角下法院微信公众平台完善路径探讨——基于网络“爬虫”和文本挖掘的</w:t>
      </w:r>
      <w:r>
        <w:rPr>
          <w:rFonts w:ascii="楷体_GB2312" w:eastAsia="楷体_GB2312" w:hAnsi="楷体_GB2312" w:cs="楷体_GB2312" w:hint="eastAsia"/>
          <w:sz w:val="24"/>
        </w:rPr>
        <w:t>231</w:t>
      </w:r>
      <w:r>
        <w:rPr>
          <w:rFonts w:ascii="楷体_GB2312" w:eastAsia="楷体_GB2312" w:hAnsi="楷体_GB2312" w:cs="楷体_GB2312" w:hint="eastAsia"/>
          <w:sz w:val="24"/>
        </w:rPr>
        <w:t>个样本分析</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安徽省滁州市中级人民法院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马清</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司法回应舆论的内在机理：铺展法律沟通的理性之路——基于对</w:t>
      </w:r>
      <w:r>
        <w:rPr>
          <w:rFonts w:ascii="楷体_GB2312" w:eastAsia="楷体_GB2312" w:hAnsi="楷体_GB2312" w:cs="楷体_GB2312" w:hint="eastAsia"/>
          <w:sz w:val="24"/>
        </w:rPr>
        <w:t>2008-2018</w:t>
      </w:r>
      <w:r>
        <w:rPr>
          <w:rFonts w:ascii="楷体_GB2312" w:eastAsia="楷体_GB2312" w:hAnsi="楷体_GB2312" w:cs="楷体_GB2312" w:hint="eastAsia"/>
          <w:sz w:val="24"/>
        </w:rPr>
        <w:t>年间</w:t>
      </w:r>
      <w:r>
        <w:rPr>
          <w:rFonts w:ascii="楷体_GB2312" w:eastAsia="楷体_GB2312" w:hAnsi="楷体_GB2312" w:cs="楷体_GB2312" w:hint="eastAsia"/>
          <w:sz w:val="24"/>
        </w:rPr>
        <w:t>184</w:t>
      </w:r>
      <w:r>
        <w:rPr>
          <w:rFonts w:ascii="楷体_GB2312" w:eastAsia="楷体_GB2312" w:hAnsi="楷体_GB2312" w:cs="楷体_GB2312" w:hint="eastAsia"/>
          <w:sz w:val="24"/>
        </w:rPr>
        <w:t>件热点案件的分析与展开</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安徽省六安市中级人民法院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丁</w:t>
      </w:r>
      <w:r>
        <w:rPr>
          <w:rFonts w:ascii="楷体_GB2312" w:eastAsia="楷体_GB2312" w:hAnsi="楷体_GB2312" w:cs="楷体_GB2312" w:hint="eastAsia"/>
          <w:sz w:val="24"/>
        </w:rPr>
        <w:t>瑞祥</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Bug</w:t>
      </w:r>
      <w:r>
        <w:rPr>
          <w:rFonts w:ascii="楷体_GB2312" w:eastAsia="楷体_GB2312" w:hAnsi="楷体_GB2312" w:cs="楷体_GB2312" w:hint="eastAsia"/>
          <w:sz w:val="24"/>
        </w:rPr>
        <w:t>修复：风险防范与化解视角下的法院信息化建设路径完善——以</w:t>
      </w:r>
      <w:r>
        <w:rPr>
          <w:rFonts w:ascii="楷体_GB2312" w:eastAsia="楷体_GB2312" w:hAnsi="楷体_GB2312" w:cs="楷体_GB2312" w:hint="eastAsia"/>
          <w:sz w:val="24"/>
        </w:rPr>
        <w:t>9</w:t>
      </w:r>
      <w:r>
        <w:rPr>
          <w:rFonts w:ascii="楷体_GB2312" w:eastAsia="楷体_GB2312" w:hAnsi="楷体_GB2312" w:cs="楷体_GB2312" w:hint="eastAsia"/>
          <w:sz w:val="24"/>
        </w:rPr>
        <w:t>家法院实践为分析样本</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安徽省淮北市烈山区人民法院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王强</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法官员额消极退出的实践困境与优化路径——以竞争性绩效考核机制为关注向度</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安徽省芜湖市中级人民法院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王旭东</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宋喜萍</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胡国栋</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法官助理助力审判的困境与出路——基于</w:t>
      </w:r>
      <w:r>
        <w:rPr>
          <w:rFonts w:ascii="楷体_GB2312" w:eastAsia="楷体_GB2312" w:hAnsi="楷体_GB2312" w:cs="楷体_GB2312" w:hint="eastAsia"/>
          <w:sz w:val="24"/>
        </w:rPr>
        <w:t>S</w:t>
      </w:r>
      <w:r>
        <w:rPr>
          <w:rFonts w:ascii="楷体_GB2312" w:eastAsia="楷体_GB2312" w:hAnsi="楷体_GB2312" w:cs="楷体_GB2312" w:hint="eastAsia"/>
          <w:sz w:val="24"/>
        </w:rPr>
        <w:t>县法院法官助理助力民商事审判状况的实证考察</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安徽省宿松县人民法院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彭旺鸿</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把非诉讼纠纷解决机制挺在前面——以“主导性纠纷解决机制的建构与思考”为切入</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安徽省马鞍山市中级人民法院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方龙彪</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环境行政公益诉讼确认违法判决问题研究</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安徽省合肥市中级人民法院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潘攀</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民事管辖权异议上诉规则的完善——以两级法院的样本案例为视角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安徽省黄山市黄山区人民法院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吕贤亮</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黄鑫</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执行过程中职务犯罪风险的识别与防范——以裁判文书网全国</w:t>
      </w:r>
      <w:r>
        <w:rPr>
          <w:rFonts w:ascii="楷体_GB2312" w:eastAsia="楷体_GB2312" w:hAnsi="楷体_GB2312" w:cs="楷体_GB2312" w:hint="eastAsia"/>
          <w:sz w:val="24"/>
        </w:rPr>
        <w:t>2016</w:t>
      </w:r>
      <w:r>
        <w:rPr>
          <w:rFonts w:ascii="楷体_GB2312" w:eastAsia="楷体_GB2312" w:hAnsi="楷体_GB2312" w:cs="楷体_GB2312" w:hint="eastAsia"/>
          <w:sz w:val="24"/>
        </w:rPr>
        <w:t>年以来</w:t>
      </w:r>
      <w:r>
        <w:rPr>
          <w:rFonts w:ascii="楷体_GB2312" w:eastAsia="楷体_GB2312" w:hAnsi="楷体_GB2312" w:cs="楷体_GB2312" w:hint="eastAsia"/>
          <w:sz w:val="24"/>
        </w:rPr>
        <w:t>59</w:t>
      </w:r>
      <w:r>
        <w:rPr>
          <w:rFonts w:ascii="楷体_GB2312" w:eastAsia="楷体_GB2312" w:hAnsi="楷体_GB2312" w:cs="楷体_GB2312" w:hint="eastAsia"/>
          <w:sz w:val="24"/>
        </w:rPr>
        <w:t>篇案例为样本</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安徽省涡阳</w:t>
      </w:r>
      <w:r>
        <w:rPr>
          <w:rFonts w:ascii="楷体_GB2312" w:eastAsia="楷体_GB2312" w:hAnsi="楷体_GB2312" w:cs="楷体_GB2312" w:hint="eastAsia"/>
          <w:sz w:val="24"/>
        </w:rPr>
        <w:t>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刘海</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外援型司法辅助人员协助办案质效激励机制建构——以</w:t>
      </w:r>
      <w:r>
        <w:rPr>
          <w:rFonts w:ascii="楷体_GB2312" w:eastAsia="楷体_GB2312" w:hAnsi="楷体_GB2312" w:cs="楷体_GB2312" w:hint="eastAsia"/>
          <w:sz w:val="24"/>
        </w:rPr>
        <w:t>F</w:t>
      </w:r>
      <w:r>
        <w:rPr>
          <w:rFonts w:ascii="楷体_GB2312" w:eastAsia="楷体_GB2312" w:hAnsi="楷体_GB2312" w:cs="楷体_GB2312" w:hint="eastAsia"/>
          <w:sz w:val="24"/>
        </w:rPr>
        <w:t>市</w:t>
      </w:r>
      <w:r>
        <w:rPr>
          <w:rFonts w:ascii="楷体_GB2312" w:eastAsia="楷体_GB2312" w:hAnsi="楷体_GB2312" w:cs="楷体_GB2312" w:hint="eastAsia"/>
          <w:sz w:val="24"/>
        </w:rPr>
        <w:t>G</w:t>
      </w:r>
      <w:r>
        <w:rPr>
          <w:rFonts w:ascii="楷体_GB2312" w:eastAsia="楷体_GB2312" w:hAnsi="楷体_GB2312" w:cs="楷体_GB2312" w:hint="eastAsia"/>
          <w:sz w:val="24"/>
        </w:rPr>
        <w:t>区法院实习法官助理五批次运行经验为例</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福建省福州市中级人民法院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苏维海</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福建省福州市鼓楼区人民法院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张太洲</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审判质量瑕疵责任的认定标准及规则构建限度——以审判质量保证机制为出发点</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福建省厦门市思明区人民法院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刘远萍</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“跨域”嵌入诉讼服务之后——以</w:t>
      </w:r>
      <w:r>
        <w:rPr>
          <w:rFonts w:ascii="楷体_GB2312" w:eastAsia="楷体_GB2312" w:hAnsi="楷体_GB2312" w:cs="楷体_GB2312" w:hint="eastAsia"/>
          <w:sz w:val="24"/>
        </w:rPr>
        <w:t>F</w:t>
      </w:r>
      <w:r>
        <w:rPr>
          <w:rFonts w:ascii="楷体_GB2312" w:eastAsia="楷体_GB2312" w:hAnsi="楷体_GB2312" w:cs="楷体_GB2312" w:hint="eastAsia"/>
          <w:sz w:val="24"/>
        </w:rPr>
        <w:t>省法院跨域实践为样本</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福建省泉州市中级人民法院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林美燕</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专利确权与侵权交叉案件的程序困境与优化</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福建省福州市中级人民法院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陈琦</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论精神病鉴定法庭调查实质化</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福建省福州市中级人民法院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李军</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行政协议无效认定审理规则之审视与建构——以法律适用“体系性思维”为分析视角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福建省泉州市中级人民法院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刘志健</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福建省泉州市丰泽区人民法院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周华丽</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环境行政罚款与罚金的实体衔接及规则适用</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福建省罗源县人民法院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黄宗斌</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李瑞钦</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公共法律服务体系建设背景下的送达机制改革方向——以</w:t>
      </w:r>
      <w:r>
        <w:rPr>
          <w:rFonts w:ascii="楷体_GB2312" w:eastAsia="楷体_GB2312" w:hAnsi="楷体_GB2312" w:cs="楷体_GB2312" w:hint="eastAsia"/>
          <w:sz w:val="24"/>
        </w:rPr>
        <w:t>S</w:t>
      </w:r>
      <w:r>
        <w:rPr>
          <w:rFonts w:ascii="楷体_GB2312" w:eastAsia="楷体_GB2312" w:hAnsi="楷体_GB2312" w:cs="楷体_GB2312" w:hint="eastAsia"/>
          <w:sz w:val="24"/>
        </w:rPr>
        <w:t>法院围绕送达主体的十年改革历程为观察样本</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福建省厦门市思明区人民法院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张希华</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从博弈到共存：执行程序中租赁权的保护范围及限度——以利益衡量论为视角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江西省宜春市中级人民法院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陈明灿</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环境诉讼</w:t>
      </w:r>
      <w:r>
        <w:rPr>
          <w:rFonts w:ascii="楷体_GB2312" w:eastAsia="楷体_GB2312" w:hAnsi="楷体_GB2312" w:cs="楷体_GB2312" w:hint="eastAsia"/>
          <w:sz w:val="24"/>
        </w:rPr>
        <w:t>裁判思维的逻辑程式建构——以利益衡量的阶段性分析与风险控制为视角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江西省会昌县人民法院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邹桃生</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李晓霞</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刑事裁判的情理考量与程序规制——兼论新时代“情理法融合正义观”办案模式之构建</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江西理工大学</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钟健生</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江西省赣州市中级人民法院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肖建国</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江西省赣州市赣县区人民法院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龚享福</w:t>
      </w:r>
    </w:p>
    <w:p w:rsidR="002E67B1" w:rsidRDefault="009C088F">
      <w:pPr>
        <w:rPr>
          <w:rFonts w:ascii="楷体_GB2312" w:eastAsia="楷体_GB2312" w:hAnsi="楷体_GB2312" w:cs="楷体_GB2312"/>
          <w:sz w:val="24"/>
        </w:rPr>
      </w:pPr>
      <w:r>
        <w:rPr>
          <w:rFonts w:ascii="楷体_GB2312" w:eastAsia="楷体_GB2312" w:hAnsi="楷体_GB2312" w:cs="楷体_GB2312"/>
          <w:sz w:val="24"/>
        </w:rPr>
        <w:t>“</w:t>
      </w:r>
      <w:r>
        <w:rPr>
          <w:rFonts w:ascii="楷体_GB2312" w:eastAsia="楷体_GB2312" w:hAnsi="楷体_GB2312" w:cs="楷体_GB2312"/>
          <w:sz w:val="24"/>
        </w:rPr>
        <w:t>一带一路</w:t>
      </w:r>
      <w:r>
        <w:rPr>
          <w:rFonts w:ascii="楷体_GB2312" w:eastAsia="楷体_GB2312" w:hAnsi="楷体_GB2312" w:cs="楷体_GB2312"/>
          <w:sz w:val="24"/>
        </w:rPr>
        <w:t>”</w:t>
      </w:r>
      <w:r>
        <w:rPr>
          <w:rFonts w:ascii="楷体_GB2312" w:eastAsia="楷体_GB2312" w:hAnsi="楷体_GB2312" w:cs="楷体_GB2312"/>
          <w:sz w:val="24"/>
        </w:rPr>
        <w:t>倡议下外国法查明责任承担规则的完善</w:t>
      </w:r>
      <w:r>
        <w:rPr>
          <w:rFonts w:ascii="楷体_GB2312" w:eastAsia="楷体_GB2312" w:hAnsi="楷体_GB2312" w:cs="楷体_GB2312"/>
          <w:sz w:val="24"/>
        </w:rPr>
        <w:t>——</w:t>
      </w:r>
      <w:r>
        <w:rPr>
          <w:rFonts w:ascii="楷体_GB2312" w:eastAsia="楷体_GB2312" w:hAnsi="楷体_GB2312" w:cs="楷体_GB2312"/>
          <w:sz w:val="24"/>
        </w:rPr>
        <w:t>以构建法官与当事人协同关系为指向</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江西省南昌市中级人民法院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陈洁</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江西省进贤县人民法院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朱斐倩</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广东省深圳市龙岗区人民法院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唐雨蒙</w:t>
      </w:r>
    </w:p>
    <w:p w:rsidR="002E67B1" w:rsidRDefault="009C088F">
      <w:pPr>
        <w:rPr>
          <w:rFonts w:ascii="楷体_GB2312" w:eastAsia="楷体_GB2312" w:hAnsi="楷体_GB2312" w:cs="楷体_GB2312"/>
          <w:sz w:val="24"/>
        </w:rPr>
      </w:pPr>
      <w:r>
        <w:rPr>
          <w:rFonts w:ascii="楷体_GB2312" w:eastAsia="楷体_GB2312" w:hAnsi="楷体_GB2312" w:cs="楷体_GB2312"/>
          <w:sz w:val="24"/>
        </w:rPr>
        <w:t>环境民事公益诉讼中数人侵权案件责任分担的司法审理</w:t>
      </w:r>
      <w:r>
        <w:rPr>
          <w:rFonts w:ascii="楷体_GB2312" w:eastAsia="楷体_GB2312" w:hAnsi="楷体_GB2312" w:cs="楷体_GB2312"/>
          <w:sz w:val="24"/>
        </w:rPr>
        <w:t>——</w:t>
      </w:r>
      <w:r>
        <w:rPr>
          <w:rFonts w:ascii="楷体_GB2312" w:eastAsia="楷体_GB2312" w:hAnsi="楷体_GB2312" w:cs="楷体_GB2312"/>
          <w:sz w:val="24"/>
        </w:rPr>
        <w:t>以程序与实体互动为视角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江西省南昌市中级人民法院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陈璇</w:t>
      </w:r>
    </w:p>
    <w:p w:rsidR="002E67B1" w:rsidRDefault="009C088F">
      <w:pPr>
        <w:rPr>
          <w:rFonts w:ascii="楷体_GB2312" w:eastAsia="楷体_GB2312" w:hAnsi="楷体_GB2312" w:cs="楷体_GB2312"/>
          <w:sz w:val="24"/>
        </w:rPr>
      </w:pPr>
      <w:r>
        <w:rPr>
          <w:rFonts w:ascii="楷体_GB2312" w:eastAsia="楷体_GB2312" w:hAnsi="楷体_GB2312" w:cs="楷体_GB2312"/>
          <w:sz w:val="24"/>
        </w:rPr>
        <w:t>空转与规制</w:t>
      </w:r>
      <w:r>
        <w:rPr>
          <w:rFonts w:ascii="楷体_GB2312" w:eastAsia="楷体_GB2312" w:hAnsi="楷体_GB2312" w:cs="楷体_GB2312" w:hint="eastAsia"/>
          <w:sz w:val="24"/>
        </w:rPr>
        <w:t>：</w:t>
      </w:r>
      <w:r>
        <w:rPr>
          <w:rFonts w:ascii="楷体_GB2312" w:eastAsia="楷体_GB2312" w:hAnsi="楷体_GB2312" w:cs="楷体_GB2312"/>
          <w:sz w:val="24"/>
        </w:rPr>
        <w:t>财产报告制度的实践困局与治理路径</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江西省高级人民法院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卢日久</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从“单向度”到“多向度”：检察长列席审委会制度的功能转进与规则建构</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江西省吉安县人民法院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赖建根</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“灰犀牛”风险与法官责任——谈司法责任制改革后争议案件的风险防控</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江西省抚州市中级人民法院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饶辉华</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为当事人挂上“专家号”：论案件风险防范化解视角下院领导办案制度的优化</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山东省烟台市中级人民法院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李启航</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法院内设机构扁平化改革的体制性冲突及其解决路径</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山东省高级人民法院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陈希国</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山东大学</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郑智航</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员额法官遴选中置休制度的嵌入——制度经济学视野下员额增减机制的过渡性安排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山东省枣庄市中级人民法院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金蕾</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中间类型：区分事实审与法律审逻辑建构新探</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山东省高级人民法院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周蓉蓉</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徐兴军</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七人合议庭中事实审与法律审区分规则分析——以陪审司法解释之再细化为目标</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山东省博兴县人民法院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舒志喜</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乡村法庭适度增设的结构功能主义分析——以</w:t>
      </w:r>
      <w:r>
        <w:rPr>
          <w:rFonts w:ascii="楷体_GB2312" w:eastAsia="楷体_GB2312" w:hAnsi="楷体_GB2312" w:cs="楷体_GB2312" w:hint="eastAsia"/>
          <w:sz w:val="24"/>
        </w:rPr>
        <w:t>GIS</w:t>
      </w:r>
      <w:r>
        <w:rPr>
          <w:rFonts w:ascii="楷体_GB2312" w:eastAsia="楷体_GB2312" w:hAnsi="楷体_GB2312" w:cs="楷体_GB2312" w:hint="eastAsia"/>
          <w:sz w:val="24"/>
        </w:rPr>
        <w:t>空间可达性为测算工具</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山东省青岛市中级人民法院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贾升宗</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规范下的自由：民事案件裁判结果偏离度之审视与管控</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山东省德州市中级人民法院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张鹏</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司晓博</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宋冬梅</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司法实践视野下的律师调查令之理性思辨与制度完善</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山东省淄博市中级人民法院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荣明潇</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杨富元</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无罪裁判文书说理的公共服务功能——以提升司法公信力为视角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山东省德州市中级人民法院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苑伟</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王燕</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论行政诉讼中保护规范理论的司法适用——从防范“利害关系”标准风险出发</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山东省威海市中级人民法院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王红云</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庭审构造的改革完善——以设置争点附随型法庭辩论为切入点</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山东省无棣县人民法院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付金良</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李洪波</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论环境公益诉讼修复前置程序</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山东省平原县人民法院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王涛</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执行内设机构改革的风险防范与优化重构——以“执行庭模式”向“执行法官团队模式”转变为视角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山东省济南市天桥区人民法院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王建</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有为不越位</w:t>
      </w:r>
      <w:r>
        <w:rPr>
          <w:rFonts w:ascii="楷体_GB2312" w:eastAsia="楷体_GB2312" w:hAnsi="楷体_GB2312" w:cs="楷体_GB2312" w:hint="eastAsia"/>
          <w:sz w:val="24"/>
        </w:rPr>
        <w:t>:</w:t>
      </w:r>
      <w:r>
        <w:rPr>
          <w:rFonts w:ascii="楷体_GB2312" w:eastAsia="楷体_GB2312" w:hAnsi="楷体_GB2312" w:cs="楷体_GB2312" w:hint="eastAsia"/>
          <w:sz w:val="24"/>
        </w:rPr>
        <w:t>经济不发达地区人民法院“问题楼盘”案件处理风险与路径选择</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河南省平顶山市新华区人民法院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杨红卫</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和彦彬</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付康生</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限缩与扩张：环境侵权民事案件中惩罚性赔偿制度的理性逻辑与制度构建</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河南省宝丰县人民法院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沈伟轩</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魏培培</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顾此不能失彼：边际事实在刑事审判中运用之考量——基于</w:t>
      </w:r>
      <w:r>
        <w:rPr>
          <w:rFonts w:ascii="楷体_GB2312" w:eastAsia="楷体_GB2312" w:hAnsi="楷体_GB2312" w:cs="楷体_GB2312" w:hint="eastAsia"/>
          <w:sz w:val="24"/>
        </w:rPr>
        <w:t>3</w:t>
      </w:r>
      <w:r>
        <w:rPr>
          <w:rFonts w:ascii="楷体_GB2312" w:eastAsia="楷体_GB2312" w:hAnsi="楷体_GB2312" w:cs="楷体_GB2312" w:hint="eastAsia"/>
          <w:sz w:val="24"/>
        </w:rPr>
        <w:t>起经典案例、</w:t>
      </w:r>
      <w:r>
        <w:rPr>
          <w:rFonts w:ascii="楷体_GB2312" w:eastAsia="楷体_GB2312" w:hAnsi="楷体_GB2312" w:cs="楷体_GB2312" w:hint="eastAsia"/>
          <w:sz w:val="24"/>
        </w:rPr>
        <w:t>S</w:t>
      </w:r>
      <w:r>
        <w:rPr>
          <w:rFonts w:ascii="楷体_GB2312" w:eastAsia="楷体_GB2312" w:hAnsi="楷体_GB2312" w:cs="楷体_GB2312" w:hint="eastAsia"/>
          <w:sz w:val="24"/>
        </w:rPr>
        <w:t>市中院</w:t>
      </w:r>
      <w:r>
        <w:rPr>
          <w:rFonts w:ascii="楷体_GB2312" w:eastAsia="楷体_GB2312" w:hAnsi="楷体_GB2312" w:cs="楷体_GB2312" w:hint="eastAsia"/>
          <w:sz w:val="24"/>
        </w:rPr>
        <w:t>5</w:t>
      </w:r>
      <w:r>
        <w:rPr>
          <w:rFonts w:ascii="楷体_GB2312" w:eastAsia="楷体_GB2312" w:hAnsi="楷体_GB2312" w:cs="楷体_GB2312" w:hint="eastAsia"/>
          <w:sz w:val="24"/>
        </w:rPr>
        <w:t>起案件的实证分析</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河南省商丘市中级人民法院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赵新民</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彭灵侠</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崔召选</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行政审判白皮书制度的审视与完善——以</w:t>
      </w:r>
      <w:r>
        <w:rPr>
          <w:rFonts w:ascii="楷体_GB2312" w:eastAsia="楷体_GB2312" w:hAnsi="楷体_GB2312" w:cs="楷体_GB2312" w:hint="eastAsia"/>
          <w:sz w:val="24"/>
        </w:rPr>
        <w:t>H</w:t>
      </w:r>
      <w:r>
        <w:rPr>
          <w:rFonts w:ascii="楷体_GB2312" w:eastAsia="楷体_GB2312" w:hAnsi="楷体_GB2312" w:cs="楷体_GB2312" w:hint="eastAsia"/>
          <w:sz w:val="24"/>
        </w:rPr>
        <w:t>省</w:t>
      </w:r>
      <w:r>
        <w:rPr>
          <w:rFonts w:ascii="楷体_GB2312" w:eastAsia="楷体_GB2312" w:hAnsi="楷体_GB2312" w:cs="楷体_GB2312" w:hint="eastAsia"/>
          <w:sz w:val="24"/>
        </w:rPr>
        <w:t>19</w:t>
      </w:r>
      <w:r>
        <w:rPr>
          <w:rFonts w:ascii="楷体_GB2312" w:eastAsia="楷体_GB2312" w:hAnsi="楷体_GB2312" w:cs="楷体_GB2312" w:hint="eastAsia"/>
          <w:sz w:val="24"/>
        </w:rPr>
        <w:t>个中级法院实践现状为分析样本</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郑州铁路运输中级法院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谢玉清</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谷会迎</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“多而散”抑或“少而精”——司法改革新形势下行政案件管辖制度的路径探析</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郑州铁路运输中级法院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吴林轶</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检视、反思、修正与重构：专家辅助人参与环境民事司法身份问题研究——以</w:t>
      </w:r>
      <w:r>
        <w:rPr>
          <w:rFonts w:ascii="楷体_GB2312" w:eastAsia="楷体_GB2312" w:hAnsi="楷体_GB2312" w:cs="楷体_GB2312" w:hint="eastAsia"/>
          <w:sz w:val="24"/>
        </w:rPr>
        <w:t>69</w:t>
      </w:r>
      <w:r>
        <w:rPr>
          <w:rFonts w:ascii="楷体_GB2312" w:eastAsia="楷体_GB2312" w:hAnsi="楷体_GB2312" w:cs="楷体_GB2312" w:hint="eastAsia"/>
          <w:sz w:val="24"/>
        </w:rPr>
        <w:t>个案例为样本的考察</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河南省高级人民法院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张琦</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执行异议之诉受案范围问题研究——以</w:t>
      </w:r>
      <w:r>
        <w:rPr>
          <w:rFonts w:ascii="楷体_GB2312" w:eastAsia="楷体_GB2312" w:hAnsi="楷体_GB2312" w:cs="楷体_GB2312" w:hint="eastAsia"/>
          <w:sz w:val="24"/>
        </w:rPr>
        <w:t>H</w:t>
      </w:r>
      <w:r>
        <w:rPr>
          <w:rFonts w:ascii="楷体_GB2312" w:eastAsia="楷体_GB2312" w:hAnsi="楷体_GB2312" w:cs="楷体_GB2312" w:hint="eastAsia"/>
          <w:sz w:val="24"/>
        </w:rPr>
        <w:t>省高院裁定驳回起诉的执行异议之诉上诉案件为视角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河南省高级人民法院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王静</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非诉公民司法公正感养成路径探析——以心理学和传播学为研究视角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湖北省武汉经济技术开发区人民法院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郑灵芝</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黄犇</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司法裁判嵌入社会治理的路径探析——以</w:t>
      </w:r>
      <w:r>
        <w:rPr>
          <w:rFonts w:ascii="楷体_GB2312" w:eastAsia="楷体_GB2312" w:hAnsi="楷体_GB2312" w:cs="楷体_GB2312" w:hint="eastAsia"/>
          <w:sz w:val="24"/>
        </w:rPr>
        <w:t>405</w:t>
      </w:r>
      <w:r>
        <w:rPr>
          <w:rFonts w:ascii="楷体_GB2312" w:eastAsia="楷体_GB2312" w:hAnsi="楷体_GB2312" w:cs="楷体_GB2312" w:hint="eastAsia"/>
          <w:sz w:val="24"/>
        </w:rPr>
        <w:t>份民事判决书为分析样本</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湖北省黄冈市中级人民法院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胡美琴</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裴廷雪</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湖北省英山县人民法院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陈丹</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定位与发展：法治视阈下法院参与基层社会治理的逻辑进路——基于</w:t>
      </w:r>
      <w:r>
        <w:rPr>
          <w:rFonts w:ascii="楷体_GB2312" w:eastAsia="楷体_GB2312" w:hAnsi="楷体_GB2312" w:cs="楷体_GB2312" w:hint="eastAsia"/>
          <w:sz w:val="24"/>
        </w:rPr>
        <w:t>H</w:t>
      </w:r>
      <w:r>
        <w:rPr>
          <w:rFonts w:ascii="楷体_GB2312" w:eastAsia="楷体_GB2312" w:hAnsi="楷体_GB2312" w:cs="楷体_GB2312" w:hint="eastAsia"/>
          <w:sz w:val="24"/>
        </w:rPr>
        <w:t>省</w:t>
      </w:r>
      <w:r>
        <w:rPr>
          <w:rFonts w:ascii="楷体_GB2312" w:eastAsia="楷体_GB2312" w:hAnsi="楷体_GB2312" w:cs="楷体_GB2312" w:hint="eastAsia"/>
          <w:sz w:val="24"/>
        </w:rPr>
        <w:t>H</w:t>
      </w:r>
      <w:r>
        <w:rPr>
          <w:rFonts w:ascii="楷体_GB2312" w:eastAsia="楷体_GB2312" w:hAnsi="楷体_GB2312" w:cs="楷体_GB2312" w:hint="eastAsia"/>
          <w:sz w:val="24"/>
        </w:rPr>
        <w:t>市</w:t>
      </w:r>
      <w:r>
        <w:rPr>
          <w:rFonts w:ascii="楷体_GB2312" w:eastAsia="楷体_GB2312" w:hAnsi="楷体_GB2312" w:cs="楷体_GB2312" w:hint="eastAsia"/>
          <w:sz w:val="24"/>
        </w:rPr>
        <w:t>89</w:t>
      </w:r>
      <w:r>
        <w:rPr>
          <w:rFonts w:ascii="楷体_GB2312" w:eastAsia="楷体_GB2312" w:hAnsi="楷体_GB2312" w:cs="楷体_GB2312" w:hint="eastAsia"/>
          <w:sz w:val="24"/>
        </w:rPr>
        <w:t>个人民法庭的实证分析</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湖北省黄冈市中级人民法院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肖笛</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裴廷雪</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湖北省</w:t>
      </w:r>
      <w:r>
        <w:rPr>
          <w:rFonts w:ascii="楷体_GB2312" w:eastAsia="楷体_GB2312" w:hAnsi="楷体_GB2312" w:cs="楷体_GB2312" w:hint="eastAsia"/>
          <w:sz w:val="24"/>
        </w:rPr>
        <w:t>英山县人民法院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陈丹</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接近正义：乡村人民法庭参与社会治理的逻辑进路</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湖北省南漳县人民法院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罗华山</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何姗</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裂变与重塑：中国乡村法庭公共法律服务职能之构造转型——以乡土司法参与基层社会治理创新为背景</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湖北省大悟县人民法院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刘杨萍</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陈阿娟</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论我国法官类案检索规则体系的构建</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湖北省咸宁市中级人民法院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王洪斌</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国家监察体制改革背景下法官惩戒与国家监察的衔接机制研究</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湖北省武汉市武昌区人民法院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陈甜</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民事审判监督管理实证图景与理想建构——基于</w:t>
      </w:r>
      <w:r>
        <w:rPr>
          <w:rFonts w:ascii="楷体_GB2312" w:eastAsia="楷体_GB2312" w:hAnsi="楷体_GB2312" w:cs="楷体_GB2312" w:hint="eastAsia"/>
          <w:sz w:val="24"/>
        </w:rPr>
        <w:t>42</w:t>
      </w:r>
      <w:r>
        <w:rPr>
          <w:rFonts w:ascii="楷体_GB2312" w:eastAsia="楷体_GB2312" w:hAnsi="楷体_GB2312" w:cs="楷体_GB2312" w:hint="eastAsia"/>
          <w:sz w:val="24"/>
        </w:rPr>
        <w:t>份民事枉法裁判罪裁判文书的实证分析</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湖北省鄂州市中级人民法院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刘岳鹏</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司法改革背景下审判委员会总结审判工作经验职能的回归——以</w:t>
      </w:r>
      <w:r>
        <w:rPr>
          <w:rFonts w:ascii="楷体_GB2312" w:eastAsia="楷体_GB2312" w:hAnsi="楷体_GB2312" w:cs="楷体_GB2312" w:hint="eastAsia"/>
          <w:sz w:val="24"/>
        </w:rPr>
        <w:t>H</w:t>
      </w:r>
      <w:r>
        <w:rPr>
          <w:rFonts w:ascii="楷体_GB2312" w:eastAsia="楷体_GB2312" w:hAnsi="楷体_GB2312" w:cs="楷体_GB2312" w:hint="eastAsia"/>
          <w:sz w:val="24"/>
        </w:rPr>
        <w:t>省</w:t>
      </w:r>
      <w:r>
        <w:rPr>
          <w:rFonts w:ascii="楷体_GB2312" w:eastAsia="楷体_GB2312" w:hAnsi="楷体_GB2312" w:cs="楷体_GB2312" w:hint="eastAsia"/>
          <w:sz w:val="24"/>
        </w:rPr>
        <w:t>S</w:t>
      </w:r>
      <w:r>
        <w:rPr>
          <w:rFonts w:ascii="楷体_GB2312" w:eastAsia="楷体_GB2312" w:hAnsi="楷体_GB2312" w:cs="楷体_GB2312" w:hint="eastAsia"/>
          <w:sz w:val="24"/>
        </w:rPr>
        <w:t>市两级法院</w:t>
      </w:r>
      <w:r>
        <w:rPr>
          <w:rFonts w:ascii="楷体_GB2312" w:eastAsia="楷体_GB2312" w:hAnsi="楷体_GB2312" w:cs="楷体_GB2312" w:hint="eastAsia"/>
          <w:sz w:val="24"/>
        </w:rPr>
        <w:t>182</w:t>
      </w:r>
      <w:r>
        <w:rPr>
          <w:rFonts w:ascii="楷体_GB2312" w:eastAsia="楷体_GB2312" w:hAnsi="楷体_GB2312" w:cs="楷体_GB2312" w:hint="eastAsia"/>
          <w:sz w:val="24"/>
        </w:rPr>
        <w:t>次审委会记录为样本</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湖北省十堰市中级人民法院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张剑</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生态环境损害赔偿证明责任之关联性认定——“绿色原则”指导下的裁判路径探析</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湖北省武汉市洪山区人民法院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李惠</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异化与回归：改革视阙下二审发回改判规则的检视与完善</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湖北省黄冈市中级人民法院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倪志勇</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熊静</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三步裁判法：“农嫁女”土地补偿的诉讼构造与份额认定——以《农村土地承包纠纷解释》第</w:t>
      </w:r>
      <w:r>
        <w:rPr>
          <w:rFonts w:ascii="楷体_GB2312" w:eastAsia="楷体_GB2312" w:hAnsi="楷体_GB2312" w:cs="楷体_GB2312" w:hint="eastAsia"/>
          <w:sz w:val="24"/>
        </w:rPr>
        <w:t>24</w:t>
      </w:r>
      <w:r>
        <w:rPr>
          <w:rFonts w:ascii="楷体_GB2312" w:eastAsia="楷体_GB2312" w:hAnsi="楷体_GB2312" w:cs="楷体_GB2312" w:hint="eastAsia"/>
          <w:sz w:val="24"/>
        </w:rPr>
        <w:t>条为视角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湖北省黄冈市中级人民法院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詹光源</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姜亚平</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李栋</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庭审直播隐性功能的揭示及其实现</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湖南省桑植县人民法院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覃恩赐</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蒋晓莉</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司法责任制背景下“四类案件”监管识别机制完善——以非对称信息条件为视角展开</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湖南省茶陵县人民法院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尹玲容</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湖南省怀化市中级人民法院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陆银清</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省以下法院财物统管改革的“碎片化”困境与系统性改进——基于中部</w:t>
      </w:r>
      <w:r>
        <w:rPr>
          <w:rFonts w:ascii="楷体_GB2312" w:eastAsia="楷体_GB2312" w:hAnsi="楷体_GB2312" w:cs="楷体_GB2312" w:hint="eastAsia"/>
          <w:sz w:val="24"/>
        </w:rPr>
        <w:t>H</w:t>
      </w:r>
      <w:r>
        <w:rPr>
          <w:rFonts w:ascii="楷体_GB2312" w:eastAsia="楷体_GB2312" w:hAnsi="楷体_GB2312" w:cs="楷体_GB2312" w:hint="eastAsia"/>
          <w:sz w:val="24"/>
        </w:rPr>
        <w:t>省的实证考察</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湖南省资兴市人民法院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周明</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环境资源刑事附带民事公益诉讼程序优化</w:t>
      </w:r>
      <w:r>
        <w:rPr>
          <w:rFonts w:ascii="楷体_GB2312" w:eastAsia="楷体_GB2312" w:hAnsi="楷体_GB2312" w:cs="楷体_GB2312" w:hint="eastAsia"/>
          <w:sz w:val="24"/>
        </w:rPr>
        <w:t>——以环境治理和被告人权利保障的平衡为出发点</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湖南省邵阳市大祥区人民法院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张小林</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李熠杨</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湖南省怀化市中级人民法院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谌香菊</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大数据分析报告真实性证据规则的构建——数据黑箱风险防范机制的分析</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湖南省保靖县人民法院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龙诗</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湖南省怀化市中级人民法院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陈一明</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望闻问切</w:t>
      </w:r>
      <w:r>
        <w:rPr>
          <w:rFonts w:ascii="楷体_GB2312" w:eastAsia="楷体_GB2312" w:hAnsi="楷体_GB2312" w:cs="楷体_GB2312" w:hint="eastAsia"/>
          <w:sz w:val="24"/>
        </w:rPr>
        <w:t>+</w:t>
      </w:r>
      <w:r>
        <w:rPr>
          <w:rFonts w:ascii="楷体_GB2312" w:eastAsia="楷体_GB2312" w:hAnsi="楷体_GB2312" w:cs="楷体_GB2312" w:hint="eastAsia"/>
          <w:sz w:val="24"/>
        </w:rPr>
        <w:t>起承转合：人民法院执行风险防控与研判机制构建——以网贷网络仲裁案件的执行风险传导为视角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广州互联网法院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林北征</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广东省广州市中级人民法院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李涵一</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广州互联网法院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张鑫</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激活诉源治理机制的现实困境和完善路径——从</w:t>
      </w:r>
      <w:r>
        <w:rPr>
          <w:rFonts w:ascii="楷体_GB2312" w:eastAsia="楷体_GB2312" w:hAnsi="楷体_GB2312" w:cs="楷体_GB2312" w:hint="eastAsia"/>
          <w:sz w:val="24"/>
        </w:rPr>
        <w:t>M</w:t>
      </w:r>
      <w:r>
        <w:rPr>
          <w:rFonts w:ascii="楷体_GB2312" w:eastAsia="楷体_GB2312" w:hAnsi="楷体_GB2312" w:cs="楷体_GB2312" w:hint="eastAsia"/>
          <w:sz w:val="24"/>
        </w:rPr>
        <w:t>市“烂尾楼”成功处置和</w:t>
      </w:r>
      <w:r>
        <w:rPr>
          <w:rFonts w:ascii="楷体_GB2312" w:eastAsia="楷体_GB2312" w:hAnsi="楷体_GB2312" w:cs="楷体_GB2312" w:hint="eastAsia"/>
          <w:sz w:val="24"/>
        </w:rPr>
        <w:t>G</w:t>
      </w:r>
      <w:r>
        <w:rPr>
          <w:rFonts w:ascii="楷体_GB2312" w:eastAsia="楷体_GB2312" w:hAnsi="楷体_GB2312" w:cs="楷体_GB2312" w:hint="eastAsia"/>
          <w:sz w:val="24"/>
        </w:rPr>
        <w:t>市解纷困境切入</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广东省广州市中级人民法院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钟育周</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胡玮瑶</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傅贤珍</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从自愿到强制</w:t>
      </w:r>
      <w:r>
        <w:rPr>
          <w:rFonts w:ascii="楷体_GB2312" w:eastAsia="楷体_GB2312" w:hAnsi="楷体_GB2312" w:cs="楷体_GB2312" w:hint="eastAsia"/>
          <w:sz w:val="24"/>
        </w:rPr>
        <w:t>:</w:t>
      </w:r>
      <w:r>
        <w:rPr>
          <w:rFonts w:ascii="楷体_GB2312" w:eastAsia="楷体_GB2312" w:hAnsi="楷体_GB2312" w:cs="楷体_GB2312" w:hint="eastAsia"/>
          <w:sz w:val="24"/>
        </w:rPr>
        <w:t>调解前置的正当基础与模式选择——以</w:t>
      </w:r>
      <w:r>
        <w:rPr>
          <w:rFonts w:ascii="楷体_GB2312" w:eastAsia="楷体_GB2312" w:hAnsi="楷体_GB2312" w:cs="楷体_GB2312" w:hint="eastAsia"/>
          <w:sz w:val="24"/>
        </w:rPr>
        <w:t>G</w:t>
      </w:r>
      <w:r>
        <w:rPr>
          <w:rFonts w:ascii="楷体_GB2312" w:eastAsia="楷体_GB2312" w:hAnsi="楷体_GB2312" w:cs="楷体_GB2312" w:hint="eastAsia"/>
          <w:sz w:val="24"/>
        </w:rPr>
        <w:t>省</w:t>
      </w:r>
      <w:r>
        <w:rPr>
          <w:rFonts w:ascii="楷体_GB2312" w:eastAsia="楷体_GB2312" w:hAnsi="楷体_GB2312" w:cs="楷体_GB2312" w:hint="eastAsia"/>
          <w:sz w:val="24"/>
        </w:rPr>
        <w:t>F</w:t>
      </w:r>
      <w:r>
        <w:rPr>
          <w:rFonts w:ascii="楷体_GB2312" w:eastAsia="楷体_GB2312" w:hAnsi="楷体_GB2312" w:cs="楷体_GB2312" w:hint="eastAsia"/>
          <w:sz w:val="24"/>
        </w:rPr>
        <w:t>市法院的改革实践为考察样本</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广东省佛山市顺德区人民法院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潘敏</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刑事疑难案件的裁判方法构建——以案例指导制度由“规则供给”到“方法指引”的功能拓展为进路</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广东省深圳市福田区人民法院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杨潍陌</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徐骏</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行政公益诉讼第三人制度的限缩与建构——以法的“公益性”价值衡量为视角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广东省潮州市中级人民法院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余华芬</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震慑之基：恶意民事诉讼行为的甄别机制构建及规制方式完善——基于</w:t>
      </w:r>
      <w:r>
        <w:rPr>
          <w:rFonts w:ascii="楷体_GB2312" w:eastAsia="楷体_GB2312" w:hAnsi="楷体_GB2312" w:cs="楷体_GB2312" w:hint="eastAsia"/>
          <w:sz w:val="24"/>
        </w:rPr>
        <w:t>42</w:t>
      </w:r>
      <w:r>
        <w:rPr>
          <w:rFonts w:ascii="楷体_GB2312" w:eastAsia="楷体_GB2312" w:hAnsi="楷体_GB2312" w:cs="楷体_GB2312" w:hint="eastAsia"/>
          <w:sz w:val="24"/>
        </w:rPr>
        <w:t>份司法惩戒文书和</w:t>
      </w:r>
      <w:r>
        <w:rPr>
          <w:rFonts w:ascii="楷体_GB2312" w:eastAsia="楷体_GB2312" w:hAnsi="楷体_GB2312" w:cs="楷体_GB2312" w:hint="eastAsia"/>
          <w:sz w:val="24"/>
        </w:rPr>
        <w:t>50</w:t>
      </w:r>
      <w:r>
        <w:rPr>
          <w:rFonts w:ascii="楷体_GB2312" w:eastAsia="楷体_GB2312" w:hAnsi="楷体_GB2312" w:cs="楷体_GB2312" w:hint="eastAsia"/>
          <w:sz w:val="24"/>
        </w:rPr>
        <w:t>名法官调查问卷的类型化提炼</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广东省深圳市中级人民法院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田娟</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广东省深圳市福田区人民法院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吴品芬</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“求真”抑或“失权”：民事诉讼逾期证据失权制度的审视与重塑——以审判周期理论为视角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广东省江门市中级人民法院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江继业</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回应型说理：影响性案件裁判说理的实践和走向——以对公众意见的回应为视角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广东省广州市白云区人民法院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陈思佳</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武汉大学</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陈佳琳</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大数据视野下执行查控系统的审视与优化——以构建资金流分析体系为突破口</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广东省广州市越秀区人民法院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黄媛媛</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从压力到动力：法院网络舆情的现实困境与路径突破——以</w:t>
      </w:r>
      <w:r>
        <w:rPr>
          <w:rFonts w:ascii="楷体_GB2312" w:eastAsia="楷体_GB2312" w:hAnsi="楷体_GB2312" w:cs="楷体_GB2312" w:hint="eastAsia"/>
          <w:sz w:val="24"/>
        </w:rPr>
        <w:t>G</w:t>
      </w:r>
      <w:r>
        <w:rPr>
          <w:rFonts w:ascii="楷体_GB2312" w:eastAsia="楷体_GB2312" w:hAnsi="楷体_GB2312" w:cs="楷体_GB2312" w:hint="eastAsia"/>
          <w:sz w:val="24"/>
        </w:rPr>
        <w:t>市法院近</w:t>
      </w:r>
      <w:r>
        <w:rPr>
          <w:rFonts w:ascii="楷体_GB2312" w:eastAsia="楷体_GB2312" w:hAnsi="楷体_GB2312" w:cs="楷体_GB2312" w:hint="eastAsia"/>
          <w:sz w:val="24"/>
        </w:rPr>
        <w:t>5</w:t>
      </w:r>
      <w:r>
        <w:rPr>
          <w:rFonts w:ascii="楷体_GB2312" w:eastAsia="楷体_GB2312" w:hAnsi="楷体_GB2312" w:cs="楷体_GB2312" w:hint="eastAsia"/>
          <w:sz w:val="24"/>
        </w:rPr>
        <w:t>年</w:t>
      </w:r>
      <w:r>
        <w:rPr>
          <w:rFonts w:ascii="楷体_GB2312" w:eastAsia="楷体_GB2312" w:hAnsi="楷体_GB2312" w:cs="楷体_GB2312" w:hint="eastAsia"/>
          <w:sz w:val="24"/>
        </w:rPr>
        <w:t>134</w:t>
      </w:r>
      <w:r>
        <w:rPr>
          <w:rFonts w:ascii="楷体_GB2312" w:eastAsia="楷体_GB2312" w:hAnsi="楷体_GB2312" w:cs="楷体_GB2312" w:hint="eastAsia"/>
          <w:sz w:val="24"/>
        </w:rPr>
        <w:t>件舆情案例为分析样本</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广西壮族自治区平乐县人民法院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赵桂芳</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张北平</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从任务指令到潜力激发：切片式透析员额法官审判质效提升的良性激励机制</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贺利研</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杨钉</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广西壮族自治区南宁市兴宁区人民法院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陈龙江</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司法公开视野下量刑证据规则的缺陷与修补——以</w:t>
      </w:r>
      <w:r>
        <w:rPr>
          <w:rFonts w:ascii="楷体_GB2312" w:eastAsia="楷体_GB2312" w:hAnsi="楷体_GB2312" w:cs="楷体_GB2312" w:hint="eastAsia"/>
          <w:sz w:val="24"/>
        </w:rPr>
        <w:t>120</w:t>
      </w:r>
      <w:r>
        <w:rPr>
          <w:rFonts w:ascii="楷体_GB2312" w:eastAsia="楷体_GB2312" w:hAnsi="楷体_GB2312" w:cs="楷体_GB2312" w:hint="eastAsia"/>
          <w:sz w:val="24"/>
        </w:rPr>
        <w:t>份裁判文书为分析样本</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广西壮族自治区南宁市武鸣区人民法院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王攀</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法院在专利侵权诉讼中审查专利效力的合理性——以实证分析和法经济学分析为视角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张蕾</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阻断•连聚：自媒体畛域下司法与舆情深度翕合的路径选择</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广西壮族自治区桂平市人民法院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韦宇安</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走出“审判阴影”：法治语境下调解机制的再解读——对非诉讼纠纷解决机制挺在前面的断思</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广西壮族自治区河池市宜州区人民法院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韦兰情</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规范与探究：“互联网</w:t>
      </w:r>
      <w:r>
        <w:rPr>
          <w:rFonts w:ascii="楷体_GB2312" w:eastAsia="楷体_GB2312" w:hAnsi="楷体_GB2312" w:cs="楷体_GB2312" w:hint="eastAsia"/>
          <w:sz w:val="24"/>
        </w:rPr>
        <w:t>+</w:t>
      </w:r>
      <w:r>
        <w:rPr>
          <w:rFonts w:ascii="楷体_GB2312" w:eastAsia="楷体_GB2312" w:hAnsi="楷体_GB2312" w:cs="楷体_GB2312" w:hint="eastAsia"/>
          <w:sz w:val="24"/>
        </w:rPr>
        <w:t>”时代不动产网络司法拍卖风险防控路径探究</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广西壮族自治区玉林市福绵区人民法院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莫伟</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丘耀辉</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未成年人审判社会支持体系构建的路径探索——以共建共治共享社会治理格局为视角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广西壮族自治区全州县人民法院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张龙军</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南宁铁路运输中级法院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蒋振军</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迈向精英化：西部法官助理储备藩篱的破解之道——以</w:t>
      </w:r>
      <w:r>
        <w:rPr>
          <w:rFonts w:ascii="楷体_GB2312" w:eastAsia="楷体_GB2312" w:hAnsi="楷体_GB2312" w:cs="楷体_GB2312" w:hint="eastAsia"/>
          <w:sz w:val="24"/>
        </w:rPr>
        <w:t>G</w:t>
      </w:r>
      <w:r>
        <w:rPr>
          <w:rFonts w:ascii="楷体_GB2312" w:eastAsia="楷体_GB2312" w:hAnsi="楷体_GB2312" w:cs="楷体_GB2312" w:hint="eastAsia"/>
          <w:sz w:val="24"/>
        </w:rPr>
        <w:t>省</w:t>
      </w:r>
      <w:r>
        <w:rPr>
          <w:rFonts w:ascii="楷体_GB2312" w:eastAsia="楷体_GB2312" w:hAnsi="楷体_GB2312" w:cs="楷体_GB2312" w:hint="eastAsia"/>
          <w:sz w:val="24"/>
        </w:rPr>
        <w:t>Y</w:t>
      </w:r>
      <w:r>
        <w:rPr>
          <w:rFonts w:ascii="楷体_GB2312" w:eastAsia="楷体_GB2312" w:hAnsi="楷体_GB2312" w:cs="楷体_GB2312" w:hint="eastAsia"/>
          <w:sz w:val="24"/>
        </w:rPr>
        <w:t>市法院为视角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广西壮族自治区玉林市中级人民法院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何厚伟</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广西壮族自治区容县人民法院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黄洁</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以案弘道：社会主义核心价值观融入司法裁判的路径——基于</w:t>
      </w:r>
      <w:r>
        <w:rPr>
          <w:rFonts w:ascii="楷体_GB2312" w:eastAsia="楷体_GB2312" w:hAnsi="楷体_GB2312" w:cs="楷体_GB2312" w:hint="eastAsia"/>
          <w:sz w:val="24"/>
        </w:rPr>
        <w:t>346</w:t>
      </w:r>
      <w:r>
        <w:rPr>
          <w:rFonts w:ascii="楷体_GB2312" w:eastAsia="楷体_GB2312" w:hAnsi="楷体_GB2312" w:cs="楷体_GB2312" w:hint="eastAsia"/>
          <w:sz w:val="24"/>
        </w:rPr>
        <w:t>份裁判文书为研究样本</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广西壮族自治区河</w:t>
      </w:r>
      <w:r>
        <w:rPr>
          <w:rFonts w:ascii="楷体_GB2312" w:eastAsia="楷体_GB2312" w:hAnsi="楷体_GB2312" w:cs="楷体_GB2312" w:hint="eastAsia"/>
          <w:sz w:val="24"/>
        </w:rPr>
        <w:t>池市宜州区人民法院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黄蓉</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法院负面舆情应对策略研究——以广西法院</w:t>
      </w:r>
      <w:r>
        <w:rPr>
          <w:rFonts w:ascii="楷体_GB2312" w:eastAsia="楷体_GB2312" w:hAnsi="楷体_GB2312" w:cs="楷体_GB2312" w:hint="eastAsia"/>
          <w:sz w:val="24"/>
        </w:rPr>
        <w:t>14</w:t>
      </w:r>
      <w:r>
        <w:rPr>
          <w:rFonts w:ascii="楷体_GB2312" w:eastAsia="楷体_GB2312" w:hAnsi="楷体_GB2312" w:cs="楷体_GB2312" w:hint="eastAsia"/>
          <w:sz w:val="24"/>
        </w:rPr>
        <w:t>个地级市的</w:t>
      </w:r>
      <w:r>
        <w:rPr>
          <w:rFonts w:ascii="楷体_GB2312" w:eastAsia="楷体_GB2312" w:hAnsi="楷体_GB2312" w:cs="楷体_GB2312" w:hint="eastAsia"/>
          <w:sz w:val="24"/>
        </w:rPr>
        <w:t>42</w:t>
      </w:r>
      <w:r>
        <w:rPr>
          <w:rFonts w:ascii="楷体_GB2312" w:eastAsia="楷体_GB2312" w:hAnsi="楷体_GB2312" w:cs="楷体_GB2312" w:hint="eastAsia"/>
          <w:sz w:val="24"/>
        </w:rPr>
        <w:t>件舆情案例为样本</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广西壮族自治区南宁市兴宁区人民法院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潘俊秀</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基层法院内设机构设置的实践模式和制度优化——基于西部地区三种改革模式的考察</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广西壮族自治区贵港市覃塘区人民法院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陈秋霞</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防范“灰犀牛”：构建民商事案件司法管理类型化风险防控体系</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广西壮族自治区南宁市兴宁区人民法院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陈龙江</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人工智能与法院刑事审判工作融合研究</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广西壮族自治区河池市宜州区人民法院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蓝艳逢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黄浩</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VR</w:t>
      </w:r>
      <w:r>
        <w:rPr>
          <w:rFonts w:ascii="楷体_GB2312" w:eastAsia="楷体_GB2312" w:hAnsi="楷体_GB2312" w:cs="楷体_GB2312" w:hint="eastAsia"/>
          <w:sz w:val="24"/>
        </w:rPr>
        <w:t>技术在智慧法院建设中的优势与限度——以刑事审判为视角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广西壮族自治区河池市宜州区人民法院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兰柳奕</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新《法官法》背景下中级法院法官助理任职初任法官的困境和出路</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——以</w:t>
      </w:r>
      <w:r>
        <w:rPr>
          <w:rFonts w:ascii="楷体_GB2312" w:eastAsia="楷体_GB2312" w:hAnsi="楷体_GB2312" w:cs="楷体_GB2312" w:hint="eastAsia"/>
          <w:sz w:val="24"/>
        </w:rPr>
        <w:t>G</w:t>
      </w:r>
      <w:r>
        <w:rPr>
          <w:rFonts w:ascii="楷体_GB2312" w:eastAsia="楷体_GB2312" w:hAnsi="楷体_GB2312" w:cs="楷体_GB2312" w:hint="eastAsia"/>
          <w:sz w:val="24"/>
        </w:rPr>
        <w:t>自治区</w:t>
      </w:r>
      <w:r>
        <w:rPr>
          <w:rFonts w:ascii="楷体_GB2312" w:eastAsia="楷体_GB2312" w:hAnsi="楷体_GB2312" w:cs="楷体_GB2312" w:hint="eastAsia"/>
          <w:sz w:val="24"/>
        </w:rPr>
        <w:t>G</w:t>
      </w:r>
      <w:r>
        <w:rPr>
          <w:rFonts w:ascii="楷体_GB2312" w:eastAsia="楷体_GB2312" w:hAnsi="楷体_GB2312" w:cs="楷体_GB2312" w:hint="eastAsia"/>
          <w:sz w:val="24"/>
        </w:rPr>
        <w:t>市两级法院为研究样本</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广西壮族自治区桂林市中级人民法院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刘劲阳</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司法确认案件中利害关系人撤销之诉的构造——以检视现行异议程序的不足为切入</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海南省高级人民法院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余德厚</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北京市大兴区人民法院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贾薇</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软件著作权案件证据保全相关问题探讨</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海南省海口市中级人民法院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冯学文</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风险社会中生产安全领域业务过失犯罪的司法困境及风险消解——以</w:t>
      </w:r>
      <w:r>
        <w:rPr>
          <w:rFonts w:ascii="楷体_GB2312" w:eastAsia="楷体_GB2312" w:hAnsi="楷体_GB2312" w:cs="楷体_GB2312" w:hint="eastAsia"/>
          <w:sz w:val="24"/>
        </w:rPr>
        <w:t>3172</w:t>
      </w:r>
      <w:r>
        <w:rPr>
          <w:rFonts w:ascii="楷体_GB2312" w:eastAsia="楷体_GB2312" w:hAnsi="楷体_GB2312" w:cs="楷体_GB2312" w:hint="eastAsia"/>
          <w:sz w:val="24"/>
        </w:rPr>
        <w:t>份裁判文书为样本</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重庆市第一中级人民法院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刘璐</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杜伟</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行政类网络视频庭审直播困境剖析与制度构建——以“议程设置”理论为视角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重庆市第一中级人民法院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景象</w:t>
      </w:r>
      <w:r>
        <w:rPr>
          <w:rFonts w:ascii="楷体_GB2312" w:eastAsia="楷体_GB2312" w:hAnsi="楷体_GB2312" w:cs="楷体_GB2312" w:hint="eastAsia"/>
          <w:sz w:val="24"/>
        </w:rPr>
        <w:t xml:space="preserve"> </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民事诉讼档案向社会公开的理论续造与路径建构——基于当事人隐私权与公众知情权的冲突和协调</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重庆市第五中级人民法院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陈璐</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法官员额制改革背景下行政案件集中管辖制度的困境与出路——基于</w:t>
      </w:r>
      <w:r>
        <w:rPr>
          <w:rFonts w:ascii="楷体_GB2312" w:eastAsia="楷体_GB2312" w:hAnsi="楷体_GB2312" w:cs="楷体_GB2312" w:hint="eastAsia"/>
          <w:sz w:val="24"/>
        </w:rPr>
        <w:t>C</w:t>
      </w:r>
      <w:r>
        <w:rPr>
          <w:rFonts w:ascii="楷体_GB2312" w:eastAsia="楷体_GB2312" w:hAnsi="楷体_GB2312" w:cs="楷体_GB2312" w:hint="eastAsia"/>
          <w:sz w:val="24"/>
        </w:rPr>
        <w:t>市</w:t>
      </w:r>
      <w:r>
        <w:rPr>
          <w:rFonts w:ascii="楷体_GB2312" w:eastAsia="楷体_GB2312" w:hAnsi="楷体_GB2312" w:cs="楷体_GB2312" w:hint="eastAsia"/>
          <w:sz w:val="24"/>
        </w:rPr>
        <w:t>S</w:t>
      </w:r>
      <w:r>
        <w:rPr>
          <w:rFonts w:ascii="楷体_GB2312" w:eastAsia="楷体_GB2312" w:hAnsi="楷体_GB2312" w:cs="楷体_GB2312" w:hint="eastAsia"/>
          <w:sz w:val="24"/>
        </w:rPr>
        <w:t>中级法院行政案件集中管辖制度运行状况的实证分析</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重庆市高级人民法院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王彦</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刘佳佳</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“千里之外</w:t>
      </w:r>
      <w:r>
        <w:rPr>
          <w:rFonts w:ascii="楷体_GB2312" w:eastAsia="楷体_GB2312" w:hAnsi="楷体_GB2312" w:cs="楷体_GB2312" w:hint="eastAsia"/>
          <w:sz w:val="24"/>
        </w:rPr>
        <w:t>断案”的隐忧：论我国民事远程审判的实践反思与程序建构</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重庆市渝中区人民法院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熊德全</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徐真</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破产审判权与破产事务管理权分离研究——以府院联动机制运行困境为视角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重庆市第一中级人民法院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曹世海</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彭海波</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司法“触角”的广度和深度：社会治理现代化语境下司法建议制度边界问题的审视与校正</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四川省成都市武侯区人民法院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李华勇</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关佩</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议程设置理论视域下刑事案件网络舆情的生成逻辑与应对路径——基于对“呼格案”与“于欢案”两案的层次再分析（</w:t>
      </w:r>
      <w:r>
        <w:rPr>
          <w:rFonts w:ascii="楷体_GB2312" w:eastAsia="楷体_GB2312" w:hAnsi="楷体_GB2312" w:cs="楷体_GB2312" w:hint="eastAsia"/>
          <w:sz w:val="24"/>
        </w:rPr>
        <w:t>AHP</w:t>
      </w:r>
      <w:r>
        <w:rPr>
          <w:rFonts w:ascii="楷体_GB2312" w:eastAsia="楷体_GB2312" w:hAnsi="楷体_GB2312" w:cs="楷体_GB2312" w:hint="eastAsia"/>
          <w:sz w:val="24"/>
        </w:rPr>
        <w:t>）</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四川省泸州市中级人民法院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胡浪波</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双重改革背景下法官惩戒机制的自</w:t>
      </w:r>
      <w:r>
        <w:rPr>
          <w:rFonts w:ascii="楷体_GB2312" w:eastAsia="楷体_GB2312" w:hAnsi="楷体_GB2312" w:cs="楷体_GB2312" w:hint="eastAsia"/>
          <w:sz w:val="24"/>
        </w:rPr>
        <w:t>洽性风险——以程序自然法理论为分析轨迹</w:t>
      </w:r>
      <w:r>
        <w:rPr>
          <w:rFonts w:ascii="楷体_GB2312" w:eastAsia="楷体_GB2312" w:hAnsi="楷体_GB2312" w:cs="楷体_GB2312" w:hint="eastAsia"/>
          <w:sz w:val="24"/>
        </w:rPr>
        <w:t>四川天府新区成都片区人民法院（四川自由贸易试验区人民法院）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张洪亮</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从物理变化到化学反应：论基层法院内设机构与审判团队耦合与调适——以</w:t>
      </w:r>
      <w:r>
        <w:rPr>
          <w:rFonts w:ascii="楷体_GB2312" w:eastAsia="楷体_GB2312" w:hAnsi="楷体_GB2312" w:cs="楷体_GB2312" w:hint="eastAsia"/>
          <w:sz w:val="24"/>
        </w:rPr>
        <w:t>A</w:t>
      </w:r>
      <w:r>
        <w:rPr>
          <w:rFonts w:ascii="楷体_GB2312" w:eastAsia="楷体_GB2312" w:hAnsi="楷体_GB2312" w:cs="楷体_GB2312" w:hint="eastAsia"/>
          <w:sz w:val="24"/>
        </w:rPr>
        <w:t>省</w:t>
      </w:r>
      <w:r>
        <w:rPr>
          <w:rFonts w:ascii="楷体_GB2312" w:eastAsia="楷体_GB2312" w:hAnsi="楷体_GB2312" w:cs="楷体_GB2312" w:hint="eastAsia"/>
          <w:sz w:val="24"/>
        </w:rPr>
        <w:t>178</w:t>
      </w:r>
      <w:r>
        <w:rPr>
          <w:rFonts w:ascii="楷体_GB2312" w:eastAsia="楷体_GB2312" w:hAnsi="楷体_GB2312" w:cs="楷体_GB2312" w:hint="eastAsia"/>
          <w:sz w:val="24"/>
        </w:rPr>
        <w:t>个基层法院为样本</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成都铁路运输中级法院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鲁虎</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合并与转型：人民法庭空置问题的差异化解决路径——以</w:t>
      </w:r>
      <w:r>
        <w:rPr>
          <w:rFonts w:ascii="楷体_GB2312" w:eastAsia="楷体_GB2312" w:hAnsi="楷体_GB2312" w:cs="楷体_GB2312" w:hint="eastAsia"/>
          <w:sz w:val="24"/>
        </w:rPr>
        <w:t>L</w:t>
      </w:r>
      <w:r>
        <w:rPr>
          <w:rFonts w:ascii="楷体_GB2312" w:eastAsia="楷体_GB2312" w:hAnsi="楷体_GB2312" w:cs="楷体_GB2312" w:hint="eastAsia"/>
          <w:sz w:val="24"/>
        </w:rPr>
        <w:t>市</w:t>
      </w:r>
      <w:r>
        <w:rPr>
          <w:rFonts w:ascii="楷体_GB2312" w:eastAsia="楷体_GB2312" w:hAnsi="楷体_GB2312" w:cs="楷体_GB2312" w:hint="eastAsia"/>
          <w:sz w:val="24"/>
        </w:rPr>
        <w:t>45</w:t>
      </w:r>
      <w:r>
        <w:rPr>
          <w:rFonts w:ascii="楷体_GB2312" w:eastAsia="楷体_GB2312" w:hAnsi="楷体_GB2312" w:cs="楷体_GB2312" w:hint="eastAsia"/>
          <w:sz w:val="24"/>
        </w:rPr>
        <w:t>个人民法庭现状为样本</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四川省乐山市中级人民法院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孙秀竹</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以何高效维系与精准纠偏：有效认罪认罚在二审的识别、约束与突破——以</w:t>
      </w:r>
      <w:r>
        <w:rPr>
          <w:rFonts w:ascii="楷体_GB2312" w:eastAsia="楷体_GB2312" w:hAnsi="楷体_GB2312" w:cs="楷体_GB2312" w:hint="eastAsia"/>
          <w:sz w:val="24"/>
        </w:rPr>
        <w:t>1400</w:t>
      </w:r>
      <w:r>
        <w:rPr>
          <w:rFonts w:ascii="楷体_GB2312" w:eastAsia="楷体_GB2312" w:hAnsi="楷体_GB2312" w:cs="楷体_GB2312" w:hint="eastAsia"/>
          <w:sz w:val="24"/>
        </w:rPr>
        <w:t>份认罪认罚二审裁判文书为样本的研究</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四川省成都市中级人民法院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徐贵勇</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国家责任理论下的国家赔偿诉讼化构建及赔偿委员会职能优化——基于内设机构扁平化与人员专业化发展的启示</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四川省高级人民法院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李萍</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诉讼制度结构性改革视野下民事受诉的维纳式“半联动”控制审查研究——从三类改裁案件的“小”细节和“大”数据切入</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四川省高级人民法院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杜茜</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失信被执行人信用惩戒分级机制的探索与构建——以比例原则为视角寻求惩戒失信和司法公信的平衡</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四川省高级</w:t>
      </w:r>
      <w:r>
        <w:rPr>
          <w:rFonts w:ascii="楷体_GB2312" w:eastAsia="楷体_GB2312" w:hAnsi="楷体_GB2312" w:cs="楷体_GB2312" w:hint="eastAsia"/>
          <w:sz w:val="24"/>
        </w:rPr>
        <w:t>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何文翟</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杜玉兰</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类案何以类判：类案识别标准与类判尺度统一——基于关键事实与类推适用的技术路径</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贵州省遵义市中级人民法院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陈星宇</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朱桃</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民事再审审查诉讼制度的实践检视与完善</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贵州省高级人民法院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舒金曦</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多元化纠纷解决机制中司法何以可能——以民诉视角管窥司法推动、引领、保障功能</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贵州省修文县人民法院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谢仕成</w:t>
      </w:r>
      <w:r>
        <w:rPr>
          <w:rFonts w:ascii="楷体_GB2312" w:eastAsia="楷体_GB2312" w:hAnsi="楷体_GB2312" w:cs="楷体_GB2312" w:hint="eastAsia"/>
          <w:sz w:val="24"/>
        </w:rPr>
        <w:t xml:space="preserve"> </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司法改革背景下人民法院舆情分析——以探索防范化解人民法院舆情路径为方向</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贵州省安顺市西秀区人民法院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董莉</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陈阳</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包欣</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行政案件管辖与审判机制研究——以某州两级法院管辖制度改革为</w:t>
      </w:r>
      <w:r>
        <w:rPr>
          <w:rFonts w:ascii="楷体_GB2312" w:eastAsia="楷体_GB2312" w:hAnsi="楷体_GB2312" w:cs="楷体_GB2312" w:hint="eastAsia"/>
          <w:sz w:val="24"/>
        </w:rPr>
        <w:t>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贵州省黔西南州中级人民法院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陈颜虹</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骆俊玲</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余芳晶</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王旭东</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人民法院人力资源配置与司法需求的配套问题研究</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贵州省黔西南州中级人民法院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龙春燕</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黄璐水</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钟锋</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李元瑶</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从“全面”走向“有限”——论行政再审有限审查的实践困境与实现路径</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广东省佛山市顺德区人民法院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田婷婷</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云南省高级人民法院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何毅</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城区人民法庭参与基层社会治理的创新与反思——以</w:t>
      </w:r>
      <w:r>
        <w:rPr>
          <w:rFonts w:ascii="楷体_GB2312" w:eastAsia="楷体_GB2312" w:hAnsi="楷体_GB2312" w:cs="楷体_GB2312" w:hint="eastAsia"/>
          <w:sz w:val="24"/>
        </w:rPr>
        <w:t>K</w:t>
      </w:r>
      <w:r>
        <w:rPr>
          <w:rFonts w:ascii="楷体_GB2312" w:eastAsia="楷体_GB2312" w:hAnsi="楷体_GB2312" w:cs="楷体_GB2312" w:hint="eastAsia"/>
          <w:sz w:val="24"/>
        </w:rPr>
        <w:t>市</w:t>
      </w:r>
      <w:r>
        <w:rPr>
          <w:rFonts w:ascii="楷体_GB2312" w:eastAsia="楷体_GB2312" w:hAnsi="楷体_GB2312" w:cs="楷体_GB2312" w:hint="eastAsia"/>
          <w:sz w:val="24"/>
        </w:rPr>
        <w:t>G</w:t>
      </w:r>
      <w:r>
        <w:rPr>
          <w:rFonts w:ascii="楷体_GB2312" w:eastAsia="楷体_GB2312" w:hAnsi="楷体_GB2312" w:cs="楷体_GB2312" w:hint="eastAsia"/>
          <w:sz w:val="24"/>
        </w:rPr>
        <w:t>法庭转型发展为视角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云南省昆明市官渡区人民法院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吕磊</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严华</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司法体制改革背景下法院领导干部产生机制问题研究</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云南省嵩明县人民法院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李荣文</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诉讼中少数民族语言文字使用权何以保障：双语队伍建设现状及价值实现路径研究</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云南省普洱市中级人民法院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刘俊茹</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边疆地区法院法官助理队伍建设的现实困境与解决路径研究</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云南省普洱市中级人民法院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周蜀为</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在乡村振兴视阈下将非诉讼纠纷解决机制挺在前面的对策建议</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云南省寻甸县人民法院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张慧仙</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责令退赔之后：另行提起民事诉讼的现实困境与消解——以裁判文书的实证考察为分析基础</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北京市第三中级人民法院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史智军</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西藏自治区高级人民法院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吕大为</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少年法庭改革方向及改革路径</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西藏自治区亚东县人民法院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崔爽</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风险防范视角下在线审判规则的检视与完善</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陕西省城固县人民法院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魏江华</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党泽猛</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质量同构：法院编制的“内部挖潜”与“增编扩员”——以</w:t>
      </w:r>
      <w:r>
        <w:rPr>
          <w:rFonts w:ascii="楷体_GB2312" w:eastAsia="楷体_GB2312" w:hAnsi="楷体_GB2312" w:cs="楷体_GB2312" w:hint="eastAsia"/>
          <w:sz w:val="24"/>
        </w:rPr>
        <w:t>S</w:t>
      </w:r>
      <w:r>
        <w:rPr>
          <w:rFonts w:ascii="楷体_GB2312" w:eastAsia="楷体_GB2312" w:hAnsi="楷体_GB2312" w:cs="楷体_GB2312" w:hint="eastAsia"/>
          <w:sz w:val="24"/>
        </w:rPr>
        <w:t>市两级法院人员编制情况为分析蓝本</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陕西省商洛市中级人民法院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王金林</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张健</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侯向锋</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当事人主义视域下案件漂流规则的再审视——以一个民事案件的移送管辖为视角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陕西</w:t>
      </w:r>
      <w:r>
        <w:rPr>
          <w:rFonts w:ascii="楷体_GB2312" w:eastAsia="楷体_GB2312" w:hAnsi="楷体_GB2312" w:cs="楷体_GB2312" w:hint="eastAsia"/>
          <w:sz w:val="24"/>
        </w:rPr>
        <w:t>省西乡县人民法院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邹海山</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外国实体诉讼信息司法公开路径之重筑——以中美贸易战中“不可靠”外国实体的识别与应对为主要视角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陕西省商洛市中级人民法院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宋涛</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张龙</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夏文明</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“创始初心”与偏差矫正：基层人民法院跨域立案制度实证研究</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陕西省西安市中级人民法院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杜豫苏</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高伟</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张雪婷</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人民法院风险防控与研判机制构建——对</w:t>
      </w:r>
      <w:r>
        <w:rPr>
          <w:rFonts w:ascii="楷体_GB2312" w:eastAsia="楷体_GB2312" w:hAnsi="楷体_GB2312" w:cs="楷体_GB2312" w:hint="eastAsia"/>
          <w:sz w:val="24"/>
        </w:rPr>
        <w:t>S</w:t>
      </w:r>
      <w:r>
        <w:rPr>
          <w:rFonts w:ascii="楷体_GB2312" w:eastAsia="楷体_GB2312" w:hAnsi="楷体_GB2312" w:cs="楷体_GB2312" w:hint="eastAsia"/>
          <w:sz w:val="24"/>
        </w:rPr>
        <w:t>省人民法院</w:t>
      </w:r>
      <w:r>
        <w:rPr>
          <w:rFonts w:ascii="楷体_GB2312" w:eastAsia="楷体_GB2312" w:hAnsi="楷体_GB2312" w:cs="楷体_GB2312" w:hint="eastAsia"/>
          <w:sz w:val="24"/>
        </w:rPr>
        <w:t>350</w:t>
      </w:r>
      <w:r>
        <w:rPr>
          <w:rFonts w:ascii="楷体_GB2312" w:eastAsia="楷体_GB2312" w:hAnsi="楷体_GB2312" w:cs="楷体_GB2312" w:hint="eastAsia"/>
          <w:sz w:val="24"/>
        </w:rPr>
        <w:t>份调查问卷进行实证分析</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陕西省咸阳市中级人民法院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董晓飞</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陕西省泾阳县人民法院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段展翔</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陕西省旬邑县人民法院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梁艳</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新媒体时代下法院舆情应对分析与机制完善——基于</w:t>
      </w:r>
      <w:r>
        <w:rPr>
          <w:rFonts w:ascii="楷体_GB2312" w:eastAsia="楷体_GB2312" w:hAnsi="楷体_GB2312" w:cs="楷体_GB2312" w:hint="eastAsia"/>
          <w:sz w:val="24"/>
        </w:rPr>
        <w:t>113</w:t>
      </w:r>
      <w:r>
        <w:rPr>
          <w:rFonts w:ascii="楷体_GB2312" w:eastAsia="楷体_GB2312" w:hAnsi="楷体_GB2312" w:cs="楷体_GB2312" w:hint="eastAsia"/>
          <w:sz w:val="24"/>
        </w:rPr>
        <w:t>起涉法舆情案事件的实证分析</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甘肃省庆阳市中级人民法院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张克杰</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安徽省芜湖市鸠江区人民法院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管静宇</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甘肃省永昌县人民法院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张增奎</w:t>
      </w:r>
      <w:r>
        <w:rPr>
          <w:rFonts w:ascii="楷体_GB2312" w:eastAsia="楷体_GB2312" w:hAnsi="楷体_GB2312" w:cs="楷体_GB2312" w:hint="eastAsia"/>
          <w:sz w:val="24"/>
        </w:rPr>
        <w:t xml:space="preserve"> </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内设机构改革后基层法院大型庭室治理问题研究——从庭室管理到庭室治理的转变</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甘肃省永昌县人民法院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杨帆</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北京市朝阳区人民法院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陈静竺</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甘肃省清水县人民法院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王彦峰</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从矛盾纠纷多元化解的角度探索诉讼服务功能重塑之路径</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甘肃省高级人民法院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赵立新</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任莉莉</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司法责任制下民事审判监督程序的功能续造——以中级法院审判监督程序为视角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甘肃省高级人民法院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刘吉旭</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北京市第一中级人民法院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姚志伟</w:t>
      </w:r>
    </w:p>
    <w:p w:rsidR="002E67B1" w:rsidRDefault="009C088F">
      <w:pPr>
        <w:rPr>
          <w:rFonts w:ascii="楷体_GB2312" w:eastAsia="楷体_GB2312" w:hAnsi="楷体_GB2312" w:cs="楷体_GB2312"/>
          <w:sz w:val="24"/>
        </w:rPr>
      </w:pPr>
      <w:r>
        <w:rPr>
          <w:rFonts w:ascii="楷体_GB2312" w:eastAsia="楷体_GB2312" w:hAnsi="楷体_GB2312" w:cs="楷体_GB2312"/>
          <w:sz w:val="24"/>
        </w:rPr>
        <w:t>申请选择管辖</w:t>
      </w:r>
      <w:r>
        <w:rPr>
          <w:rFonts w:ascii="楷体_GB2312" w:eastAsia="楷体_GB2312" w:hAnsi="楷体_GB2312" w:cs="楷体_GB2312"/>
          <w:sz w:val="24"/>
        </w:rPr>
        <w:t>——</w:t>
      </w:r>
      <w:r>
        <w:rPr>
          <w:rFonts w:ascii="楷体_GB2312" w:eastAsia="楷体_GB2312" w:hAnsi="楷体_GB2312" w:cs="楷体_GB2312"/>
          <w:sz w:val="24"/>
        </w:rPr>
        <w:t>破解制约跨行政区划案件管辖的思维困局</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兰州铁路运输中级法院</w:t>
      </w:r>
      <w:r>
        <w:rPr>
          <w:rFonts w:ascii="楷体_GB2312" w:eastAsia="楷体_GB2312" w:hAnsi="楷体_GB2312" w:cs="楷体_GB2312" w:hint="eastAsia"/>
          <w:sz w:val="24"/>
        </w:rPr>
        <w:t xml:space="preserve">  </w:t>
      </w:r>
      <w:r>
        <w:rPr>
          <w:rFonts w:ascii="楷体_GB2312" w:eastAsia="楷体_GB2312" w:hAnsi="楷体_GB2312" w:cs="楷体_GB2312"/>
          <w:sz w:val="24"/>
        </w:rPr>
        <w:t>孙英</w:t>
      </w:r>
    </w:p>
    <w:p w:rsidR="002E67B1" w:rsidRDefault="009C088F">
      <w:pPr>
        <w:rPr>
          <w:rFonts w:ascii="楷体_GB2312" w:eastAsia="楷体_GB2312" w:hAnsi="楷体_GB2312" w:cs="楷体_GB2312"/>
          <w:sz w:val="24"/>
        </w:rPr>
      </w:pPr>
      <w:r>
        <w:rPr>
          <w:rFonts w:ascii="楷体_GB2312" w:eastAsia="楷体_GB2312" w:hAnsi="楷体_GB2312" w:cs="楷体_GB2312"/>
          <w:sz w:val="24"/>
        </w:rPr>
        <w:t>浅论人民法院司法权力运行机制的完善</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甘肃省高级人民法院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詹王镇</w:t>
      </w:r>
      <w:r>
        <w:rPr>
          <w:rFonts w:ascii="楷体_GB2312" w:eastAsia="楷体_GB2312" w:hAnsi="楷体_GB2312" w:cs="楷体_GB2312"/>
          <w:sz w:val="24"/>
        </w:rPr>
        <w:t xml:space="preserve">  </w:t>
      </w:r>
      <w:r>
        <w:rPr>
          <w:rFonts w:ascii="楷体_GB2312" w:eastAsia="楷体_GB2312" w:hAnsi="楷体_GB2312" w:cs="楷体_GB2312"/>
          <w:sz w:val="24"/>
        </w:rPr>
        <w:t>李艳</w:t>
      </w:r>
      <w:r>
        <w:rPr>
          <w:rFonts w:ascii="楷体_GB2312" w:eastAsia="楷体_GB2312" w:hAnsi="楷体_GB2312" w:cs="楷体_GB2312"/>
          <w:sz w:val="24"/>
        </w:rPr>
        <w:t xml:space="preserve"> </w:t>
      </w:r>
    </w:p>
    <w:p w:rsidR="002E67B1" w:rsidRDefault="009C088F">
      <w:pPr>
        <w:rPr>
          <w:rFonts w:ascii="楷体_GB2312" w:eastAsia="楷体_GB2312" w:hAnsi="楷体_GB2312" w:cs="楷体_GB2312"/>
          <w:sz w:val="24"/>
        </w:rPr>
      </w:pPr>
      <w:r>
        <w:rPr>
          <w:rFonts w:ascii="楷体_GB2312" w:eastAsia="楷体_GB2312" w:hAnsi="楷体_GB2312" w:cs="楷体_GB2312"/>
          <w:sz w:val="24"/>
        </w:rPr>
        <w:t>法律与风险的赛跑：运用司法救助化解</w:t>
      </w:r>
      <w:r>
        <w:rPr>
          <w:rFonts w:ascii="楷体_GB2312" w:eastAsia="楷体_GB2312" w:hAnsi="楷体_GB2312" w:cs="楷体_GB2312"/>
          <w:sz w:val="24"/>
        </w:rPr>
        <w:t>“</w:t>
      </w:r>
      <w:r>
        <w:rPr>
          <w:rFonts w:ascii="楷体_GB2312" w:eastAsia="楷体_GB2312" w:hAnsi="楷体_GB2312" w:cs="楷体_GB2312"/>
          <w:sz w:val="24"/>
        </w:rPr>
        <w:t>执行不能</w:t>
      </w:r>
      <w:r>
        <w:rPr>
          <w:rFonts w:ascii="楷体_GB2312" w:eastAsia="楷体_GB2312" w:hAnsi="楷体_GB2312" w:cs="楷体_GB2312"/>
          <w:sz w:val="24"/>
        </w:rPr>
        <w:t>”</w:t>
      </w:r>
      <w:r>
        <w:rPr>
          <w:rFonts w:ascii="楷体_GB2312" w:eastAsia="楷体_GB2312" w:hAnsi="楷体_GB2312" w:cs="楷体_GB2312"/>
          <w:sz w:val="24"/>
        </w:rPr>
        <w:t>问题研究</w:t>
      </w:r>
      <w:r>
        <w:rPr>
          <w:rFonts w:ascii="楷体_GB2312" w:eastAsia="楷体_GB2312" w:hAnsi="楷体_GB2312" w:cs="楷体_GB2312"/>
          <w:sz w:val="24"/>
        </w:rPr>
        <w:t>——</w:t>
      </w:r>
      <w:r>
        <w:rPr>
          <w:rFonts w:ascii="楷体_GB2312" w:eastAsia="楷体_GB2312" w:hAnsi="楷体_GB2312" w:cs="楷体_GB2312"/>
          <w:sz w:val="24"/>
        </w:rPr>
        <w:t>以</w:t>
      </w:r>
      <w:r>
        <w:rPr>
          <w:rFonts w:ascii="楷体_GB2312" w:eastAsia="楷体_GB2312" w:hAnsi="楷体_GB2312" w:cs="楷体_GB2312"/>
          <w:sz w:val="24"/>
        </w:rPr>
        <w:t>G</w:t>
      </w:r>
      <w:r>
        <w:rPr>
          <w:rFonts w:ascii="楷体_GB2312" w:eastAsia="楷体_GB2312" w:hAnsi="楷体_GB2312" w:cs="楷体_GB2312"/>
          <w:sz w:val="24"/>
        </w:rPr>
        <w:t>省法院司法救助案件为样本</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甘肃省高级人民法院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龙鑫</w:t>
      </w:r>
    </w:p>
    <w:p w:rsidR="002E67B1" w:rsidRDefault="009C088F">
      <w:pPr>
        <w:rPr>
          <w:rFonts w:ascii="楷体_GB2312" w:eastAsia="楷体_GB2312" w:hAnsi="楷体_GB2312" w:cs="楷体_GB2312"/>
          <w:sz w:val="24"/>
        </w:rPr>
      </w:pPr>
      <w:r>
        <w:rPr>
          <w:rFonts w:ascii="楷体_GB2312" w:eastAsia="楷体_GB2312" w:hAnsi="楷体_GB2312" w:cs="楷体_GB2312"/>
          <w:sz w:val="24"/>
        </w:rPr>
        <w:t>论基层员额法官司法职业技能的品质要求</w:t>
      </w:r>
      <w:r>
        <w:rPr>
          <w:rFonts w:ascii="楷体_GB2312" w:eastAsia="楷体_GB2312" w:hAnsi="楷体_GB2312" w:cs="楷体_GB2312"/>
          <w:sz w:val="24"/>
        </w:rPr>
        <w:t>——</w:t>
      </w:r>
      <w:r>
        <w:rPr>
          <w:rFonts w:ascii="楷体_GB2312" w:eastAsia="楷体_GB2312" w:hAnsi="楷体_GB2312" w:cs="楷体_GB2312"/>
          <w:sz w:val="24"/>
        </w:rPr>
        <w:t>从基层法院研究室职能机构式微与人员疏离说起</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青海省高级人民法院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韩珍杰</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福建省厦门市集美区人民法院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李晨</w:t>
      </w:r>
    </w:p>
    <w:p w:rsidR="002E67B1" w:rsidRDefault="009C088F">
      <w:pPr>
        <w:rPr>
          <w:rFonts w:ascii="楷体_GB2312" w:eastAsia="楷体_GB2312" w:hAnsi="楷体_GB2312" w:cs="楷体_GB2312"/>
          <w:sz w:val="24"/>
        </w:rPr>
      </w:pPr>
      <w:r>
        <w:rPr>
          <w:rFonts w:ascii="楷体_GB2312" w:eastAsia="楷体_GB2312" w:hAnsi="楷体_GB2312" w:cs="楷体_GB2312"/>
          <w:sz w:val="24"/>
        </w:rPr>
        <w:t>从机制运行到法律方法</w:t>
      </w:r>
      <w:r>
        <w:rPr>
          <w:rFonts w:ascii="楷体_GB2312" w:eastAsia="楷体_GB2312" w:hAnsi="楷体_GB2312" w:cs="楷体_GB2312"/>
          <w:sz w:val="24"/>
        </w:rPr>
        <w:t>——“</w:t>
      </w:r>
      <w:r>
        <w:rPr>
          <w:rFonts w:ascii="楷体_GB2312" w:eastAsia="楷体_GB2312" w:hAnsi="楷体_GB2312" w:cs="楷体_GB2312"/>
          <w:sz w:val="24"/>
        </w:rPr>
        <w:t>让审理者裁判</w:t>
      </w:r>
      <w:r>
        <w:rPr>
          <w:rFonts w:ascii="楷体_GB2312" w:eastAsia="楷体_GB2312" w:hAnsi="楷体_GB2312" w:cs="楷体_GB2312"/>
          <w:sz w:val="24"/>
        </w:rPr>
        <w:t>”</w:t>
      </w:r>
      <w:r>
        <w:rPr>
          <w:rFonts w:ascii="楷体_GB2312" w:eastAsia="楷体_GB2312" w:hAnsi="楷体_GB2312" w:cs="楷体_GB2312"/>
          <w:sz w:val="24"/>
        </w:rPr>
        <w:t>下的裁判尺度统一</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青海省海东市中级人民法院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马源思</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广东省广州市越秀区人民法院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欧阳福生</w:t>
      </w:r>
    </w:p>
    <w:p w:rsidR="002E67B1" w:rsidRDefault="009C088F">
      <w:pPr>
        <w:rPr>
          <w:rFonts w:ascii="楷体_GB2312" w:eastAsia="楷体_GB2312" w:hAnsi="楷体_GB2312" w:cs="楷体_GB2312"/>
          <w:sz w:val="24"/>
        </w:rPr>
      </w:pPr>
      <w:r>
        <w:rPr>
          <w:rFonts w:ascii="楷体_GB2312" w:eastAsia="楷体_GB2312" w:hAnsi="楷体_GB2312" w:cs="楷体_GB2312"/>
          <w:sz w:val="24"/>
        </w:rPr>
        <w:t>认罪认罚从宽制度中的</w:t>
      </w:r>
      <w:r>
        <w:rPr>
          <w:rFonts w:ascii="楷体_GB2312" w:eastAsia="楷体_GB2312" w:hAnsi="楷体_GB2312" w:cs="楷体_GB2312"/>
          <w:sz w:val="24"/>
        </w:rPr>
        <w:t>“</w:t>
      </w:r>
      <w:r>
        <w:rPr>
          <w:rFonts w:ascii="楷体_GB2312" w:eastAsia="楷体_GB2312" w:hAnsi="楷体_GB2312" w:cs="楷体_GB2312"/>
          <w:sz w:val="24"/>
        </w:rPr>
        <w:t>认罚自愿性</w:t>
      </w:r>
      <w:r>
        <w:rPr>
          <w:rFonts w:ascii="楷体_GB2312" w:eastAsia="楷体_GB2312" w:hAnsi="楷体_GB2312" w:cs="楷体_GB2312"/>
          <w:sz w:val="24"/>
        </w:rPr>
        <w:t>”——</w:t>
      </w:r>
      <w:r>
        <w:rPr>
          <w:rFonts w:ascii="楷体_GB2312" w:eastAsia="楷体_GB2312" w:hAnsi="楷体_GB2312" w:cs="楷体_GB2312"/>
          <w:sz w:val="24"/>
        </w:rPr>
        <w:t>以防范和化解刑事审判领域重大风险为视角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青海省西宁市城中区人民法院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朱晓柳</w:t>
      </w:r>
    </w:p>
    <w:p w:rsidR="002E67B1" w:rsidRDefault="009C088F">
      <w:pPr>
        <w:rPr>
          <w:rFonts w:ascii="楷体_GB2312" w:eastAsia="楷体_GB2312" w:hAnsi="楷体_GB2312" w:cs="楷体_GB2312"/>
          <w:sz w:val="24"/>
        </w:rPr>
      </w:pPr>
      <w:r>
        <w:rPr>
          <w:rFonts w:ascii="楷体_GB2312" w:eastAsia="楷体_GB2312" w:hAnsi="楷体_GB2312" w:cs="楷体_GB2312"/>
          <w:sz w:val="24"/>
        </w:rPr>
        <w:t>中止审理案件缺席审判程序的完善</w:t>
      </w:r>
      <w:r>
        <w:rPr>
          <w:rFonts w:ascii="楷体_GB2312" w:eastAsia="楷体_GB2312" w:hAnsi="楷体_GB2312" w:cs="楷体_GB2312"/>
          <w:sz w:val="24"/>
        </w:rPr>
        <w:t>——</w:t>
      </w:r>
      <w:r>
        <w:rPr>
          <w:rFonts w:ascii="楷体_GB2312" w:eastAsia="楷体_GB2312" w:hAnsi="楷体_GB2312" w:cs="楷体_GB2312"/>
          <w:sz w:val="24"/>
        </w:rPr>
        <w:t>关于《刑事诉讼法》第二百九十六条适用的思考</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青海省西宁市城北区人民法院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张永</w:t>
      </w:r>
      <w:r>
        <w:rPr>
          <w:rFonts w:ascii="楷体_GB2312" w:eastAsia="楷体_GB2312" w:hAnsi="楷体_GB2312" w:cs="楷体_GB2312" w:hint="eastAsia"/>
          <w:sz w:val="24"/>
        </w:rPr>
        <w:t>平</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北京市顺义区人民法院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朱进博文</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曹咏</w:t>
      </w:r>
    </w:p>
    <w:p w:rsidR="002E67B1" w:rsidRDefault="009C088F">
      <w:pPr>
        <w:rPr>
          <w:rFonts w:ascii="楷体_GB2312" w:eastAsia="楷体_GB2312" w:hAnsi="楷体_GB2312" w:cs="楷体_GB2312"/>
          <w:sz w:val="24"/>
        </w:rPr>
      </w:pPr>
      <w:r>
        <w:rPr>
          <w:rFonts w:ascii="楷体_GB2312" w:eastAsia="楷体_GB2312" w:hAnsi="楷体_GB2312" w:cs="楷体_GB2312"/>
          <w:sz w:val="24"/>
        </w:rPr>
        <w:t>论票据诉讼的程序构建</w:t>
      </w:r>
      <w:r>
        <w:rPr>
          <w:rFonts w:ascii="楷体_GB2312" w:eastAsia="楷体_GB2312" w:hAnsi="楷体_GB2312" w:cs="楷体_GB2312"/>
          <w:sz w:val="24"/>
        </w:rPr>
        <w:t>——</w:t>
      </w:r>
      <w:r>
        <w:rPr>
          <w:rFonts w:ascii="楷体_GB2312" w:eastAsia="楷体_GB2312" w:hAnsi="楷体_GB2312" w:cs="楷体_GB2312"/>
          <w:sz w:val="24"/>
        </w:rPr>
        <w:t>基于金融风险防控新视角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sz w:val="24"/>
        </w:rPr>
        <w:t>青海省西宁市中级人民法院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黄存智</w:t>
      </w:r>
    </w:p>
    <w:p w:rsidR="002E67B1" w:rsidRDefault="009C088F">
      <w:pPr>
        <w:rPr>
          <w:rFonts w:ascii="楷体_GB2312" w:eastAsia="楷体_GB2312" w:hAnsi="楷体_GB2312" w:cs="楷体_GB2312"/>
          <w:sz w:val="24"/>
        </w:rPr>
      </w:pPr>
      <w:r>
        <w:rPr>
          <w:rFonts w:ascii="楷体_GB2312" w:eastAsia="楷体_GB2312" w:hAnsi="楷体_GB2312" w:cs="楷体_GB2312"/>
          <w:sz w:val="24"/>
        </w:rPr>
        <w:t>反思与重构：民事执行程序中首封普通债权受偿规则探析</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青海省高级人民法院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周旦</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北京市东城区人民法院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李春双</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产权司法保护配套机制研究</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宁夏回族自治区吴忠市中级人民法院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王祺祺</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李霞</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宁夏基层法院内设机构改革现状分析</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宁夏回族自治区固原市中级人民法院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黄涛</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浅析回族聚居地区人民法庭的建设——以宁夏回族自治区固原市辖区人民法庭为视角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宁夏回族自治区固原市中级人民法院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闫儒红</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宁夏法院信息化建设应用问题研究</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宁夏回族自治区银川市中级人民法院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李剑锋</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假释制度实务研究——以</w:t>
      </w:r>
      <w:r>
        <w:rPr>
          <w:rFonts w:ascii="楷体_GB2312" w:eastAsia="楷体_GB2312" w:hAnsi="楷体_GB2312" w:cs="楷体_GB2312" w:hint="eastAsia"/>
          <w:sz w:val="24"/>
        </w:rPr>
        <w:t>200</w:t>
      </w:r>
      <w:r>
        <w:rPr>
          <w:rFonts w:ascii="楷体_GB2312" w:eastAsia="楷体_GB2312" w:hAnsi="楷体_GB2312" w:cs="楷体_GB2312" w:hint="eastAsia"/>
          <w:sz w:val="24"/>
        </w:rPr>
        <w:t>篇假释裁定书为视角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宁夏回族自治区高级人民法院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武靖非</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绩效管理视角下基层法院法官助理绩效考核机制之完善</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新疆维吾尔自治区高级人民法院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李马梦璐</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北京市平谷区人民法院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韩思思</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王晓蓉</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行政协议的司法认定</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新疆维吾尔自治区高级人民法院伊犁哈萨克自治州分院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张瑀歆</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福建省厦门市海沧区人民法院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陈芳序</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w:t>
      </w:r>
      <w:r>
        <w:rPr>
          <w:rFonts w:ascii="楷体_GB2312" w:eastAsia="楷体_GB2312" w:hAnsi="楷体_GB2312" w:cs="楷体_GB2312" w:hint="eastAsia"/>
          <w:sz w:val="24"/>
        </w:rPr>
        <w:t>1+1+1</w:t>
      </w:r>
      <w:r>
        <w:rPr>
          <w:rFonts w:ascii="楷体_GB2312" w:eastAsia="楷体_GB2312" w:hAnsi="楷体_GB2312" w:cs="楷体_GB2312" w:hint="eastAsia"/>
          <w:sz w:val="24"/>
        </w:rPr>
        <w:t>审判团队”运作方案研究——以基层人民法院民事审判实务操作为视角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新疆维吾尔自治区石河子市人民法院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冯浩楠</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田丽丽</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论建立监察员参与行政审判制度</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新疆维吾尔自治区于田县人民法院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廖希飞</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人工智能助力家事审判的路径研究</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新疆维吾尔自治区乌鲁木齐市天山区人民法院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陈磊</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从“自治”到“回应”：乡村振兴战略下巡回审判路径探析</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北京市怀柔区人民法院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陶杰</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新疆生产建设兵团第八师中级人民法院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杨波</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刑事法官阅卷方式的检讨与选择</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新疆生产建设兵团第十二师中级人民法院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舒卫平</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党政机构改革对行政审判的影响、挑战与应对——以行政实质审查为视角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四川省北川羌族自治县人民法院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李林</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新疆生产建设兵团第十二师中级人民法院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李新红</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国家治理现代化语境下行政审判的本质与路径</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北京市第一中级人民法院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肖克</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新疆维吾尔自治区高级人民法院生产建设兵团分院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李冰</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民事诉讼中滥用管辖权异议的反思与规制——基于中国裁判文书网</w:t>
      </w:r>
      <w:r>
        <w:rPr>
          <w:rFonts w:ascii="楷体_GB2312" w:eastAsia="楷体_GB2312" w:hAnsi="楷体_GB2312" w:cs="楷体_GB2312" w:hint="eastAsia"/>
          <w:sz w:val="24"/>
        </w:rPr>
        <w:t>263</w:t>
      </w:r>
      <w:r>
        <w:rPr>
          <w:rFonts w:ascii="楷体_GB2312" w:eastAsia="楷体_GB2312" w:hAnsi="楷体_GB2312" w:cs="楷体_GB2312" w:hint="eastAsia"/>
          <w:sz w:val="24"/>
        </w:rPr>
        <w:t>份民事裁定书的实证分析</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北京市昌平区人民法院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李强</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谢宝石</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新疆生产建设兵团第八师中级人民法院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胡少丽</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轻刑过失犯罪文书有限公开和记录制度——以被告人的刑事被遗忘权为切入点</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湖南省法学会</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许燕</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审判管理视野下民商事一审审限改革研究</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北京理工大学</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曾竞</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中国政法大学</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董洪辰</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论涉法官网络舆情处置体系的构建——以法官权益保障为视角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中央财经大学</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戴国</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中国政法大学</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周元卿</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中国人民大学</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李婧怡</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知识产权民事纠纷调解前置机制的进路探究</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湖南省法学会</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王彦平</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石瑞婷</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王娟</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混合型专业审判团队运行规则探索——以交叉案件为视角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湖南省法学会</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朱静</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夫妻关系存续期间债务认定的司法裁判风险与防控——一个体系思维的视角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湘潭大学</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刘艳辉</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阳桂凤</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童建荣</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刑事裁判文书上网公开的风险与防范研究</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湖南省法学会</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刘文斌</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关联与因果的归位：环境污染侵权证明规则的重构——以</w:t>
      </w:r>
      <w:r>
        <w:rPr>
          <w:rFonts w:ascii="楷体_GB2312" w:eastAsia="楷体_GB2312" w:hAnsi="楷体_GB2312" w:cs="楷体_GB2312" w:hint="eastAsia"/>
          <w:sz w:val="24"/>
        </w:rPr>
        <w:t>157</w:t>
      </w:r>
      <w:r>
        <w:rPr>
          <w:rFonts w:ascii="楷体_GB2312" w:eastAsia="楷体_GB2312" w:hAnsi="楷体_GB2312" w:cs="楷体_GB2312" w:hint="eastAsia"/>
          <w:sz w:val="24"/>
        </w:rPr>
        <w:t>件民事裁判文书为分析对象</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广东省湛江市法学会</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洪泉寿</w:t>
      </w:r>
    </w:p>
    <w:p w:rsidR="002E67B1" w:rsidRDefault="009C088F">
      <w:pPr>
        <w:rPr>
          <w:rFonts w:ascii="楷体_GB2312" w:eastAsia="楷体_GB2312" w:hAnsi="楷体_GB2312" w:cs="楷体_GB2312"/>
          <w:sz w:val="24"/>
        </w:rPr>
      </w:pPr>
      <w:r>
        <w:rPr>
          <w:rFonts w:ascii="楷体_GB2312" w:eastAsia="楷体_GB2312" w:hAnsi="楷体_GB2312" w:cs="楷体_GB2312" w:hint="eastAsia"/>
          <w:sz w:val="24"/>
        </w:rPr>
        <w:t>涉众型经济犯罪案件与破产程序交叉时的路径选择——以风险防控为视角</w:t>
      </w:r>
    </w:p>
    <w:p w:rsidR="002E67B1" w:rsidRDefault="009C088F">
      <w:pPr>
        <w:jc w:val="right"/>
        <w:rPr>
          <w:rFonts w:ascii="楷体_GB2312" w:eastAsia="楷体_GB2312" w:hAnsi="楷体_GB2312" w:cs="楷体_GB2312"/>
          <w:sz w:val="24"/>
        </w:rPr>
      </w:pPr>
      <w:r>
        <w:rPr>
          <w:rFonts w:ascii="楷体_GB2312" w:eastAsia="楷体_GB2312" w:hAnsi="楷体_GB2312" w:cs="楷体_GB2312" w:hint="eastAsia"/>
          <w:sz w:val="24"/>
        </w:rPr>
        <w:t>湖南省法学会</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马雷光</w:t>
      </w:r>
    </w:p>
    <w:p w:rsidR="002E67B1" w:rsidRDefault="002E67B1">
      <w:pPr>
        <w:rPr>
          <w:rFonts w:ascii="楷体_GB2312" w:eastAsia="楷体_GB2312" w:hAnsi="楷体_GB2312" w:cs="楷体_GB2312"/>
          <w:sz w:val="24"/>
        </w:rPr>
      </w:pPr>
    </w:p>
    <w:sectPr w:rsidR="002E67B1">
      <w:headerReference w:type="default" r:id="rId7"/>
      <w:footerReference w:type="even" r:id="rId8"/>
      <w:footerReference w:type="default" r:id="rId9"/>
      <w:pgSz w:w="11906" w:h="16838"/>
      <w:pgMar w:top="1440" w:right="1803" w:bottom="1440" w:left="1803"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88F" w:rsidRDefault="009C088F">
      <w:r>
        <w:separator/>
      </w:r>
    </w:p>
  </w:endnote>
  <w:endnote w:type="continuationSeparator" w:id="0">
    <w:p w:rsidR="009C088F" w:rsidRDefault="009C0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B0604020202020204"/>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00500000000000000"/>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B0604020202020204"/>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7B1" w:rsidRDefault="009C088F">
    <w:pPr>
      <w:pStyle w:val="a8"/>
      <w:framePr w:wrap="around" w:vAnchor="text" w:hAnchor="margin" w:xAlign="center" w:y="1"/>
      <w:rPr>
        <w:rStyle w:val="ad"/>
      </w:rPr>
    </w:pPr>
    <w:r>
      <w:fldChar w:fldCharType="begin"/>
    </w:r>
    <w:r>
      <w:rPr>
        <w:rStyle w:val="ad"/>
      </w:rPr>
      <w:instrText xml:space="preserve">PAGE  </w:instrText>
    </w:r>
    <w:r>
      <w:fldChar w:fldCharType="separate"/>
    </w:r>
    <w:r>
      <w:rPr>
        <w:rStyle w:val="ad"/>
      </w:rPr>
      <w:t>4</w:t>
    </w:r>
    <w:r>
      <w:fldChar w:fldCharType="end"/>
    </w:r>
  </w:p>
  <w:p w:rsidR="002E67B1" w:rsidRDefault="002E67B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7B1" w:rsidRDefault="009C088F">
    <w:pPr>
      <w:pStyle w:val="a8"/>
      <w:framePr w:wrap="around" w:vAnchor="text" w:hAnchor="margin" w:xAlign="center" w:y="1"/>
      <w:rPr>
        <w:rStyle w:val="ad"/>
      </w:rPr>
    </w:pPr>
    <w:r>
      <w:fldChar w:fldCharType="begin"/>
    </w:r>
    <w:r>
      <w:rPr>
        <w:rStyle w:val="ad"/>
      </w:rPr>
      <w:instrText xml:space="preserve">PAGE  </w:instrText>
    </w:r>
    <w:r>
      <w:fldChar w:fldCharType="separate"/>
    </w:r>
    <w:r>
      <w:rPr>
        <w:rStyle w:val="ad"/>
      </w:rPr>
      <w:t>2</w:t>
    </w:r>
    <w:r>
      <w:fldChar w:fldCharType="end"/>
    </w:r>
  </w:p>
  <w:p w:rsidR="002E67B1" w:rsidRDefault="002E67B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88F" w:rsidRDefault="009C088F">
      <w:r>
        <w:separator/>
      </w:r>
    </w:p>
  </w:footnote>
  <w:footnote w:type="continuationSeparator" w:id="0">
    <w:p w:rsidR="009C088F" w:rsidRDefault="009C0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7B1" w:rsidRDefault="002E67B1">
    <w:pPr>
      <w:pStyle w:val="aa"/>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275"/>
    <w:rsid w:val="000023AF"/>
    <w:rsid w:val="0000509F"/>
    <w:rsid w:val="00006097"/>
    <w:rsid w:val="00006F09"/>
    <w:rsid w:val="0001361D"/>
    <w:rsid w:val="000140CC"/>
    <w:rsid w:val="00020E58"/>
    <w:rsid w:val="000235BE"/>
    <w:rsid w:val="00027F2E"/>
    <w:rsid w:val="0003707C"/>
    <w:rsid w:val="00040B74"/>
    <w:rsid w:val="00051B55"/>
    <w:rsid w:val="00052670"/>
    <w:rsid w:val="000530A8"/>
    <w:rsid w:val="000535EB"/>
    <w:rsid w:val="00056893"/>
    <w:rsid w:val="0007099D"/>
    <w:rsid w:val="00071A61"/>
    <w:rsid w:val="00090F34"/>
    <w:rsid w:val="00094965"/>
    <w:rsid w:val="00095512"/>
    <w:rsid w:val="000A44DC"/>
    <w:rsid w:val="000A697D"/>
    <w:rsid w:val="000B1E0B"/>
    <w:rsid w:val="000B49BA"/>
    <w:rsid w:val="000B539E"/>
    <w:rsid w:val="000B7013"/>
    <w:rsid w:val="000C3AE0"/>
    <w:rsid w:val="000D1F16"/>
    <w:rsid w:val="000D2983"/>
    <w:rsid w:val="000E55AD"/>
    <w:rsid w:val="000E6E14"/>
    <w:rsid w:val="000F02EF"/>
    <w:rsid w:val="000F06B7"/>
    <w:rsid w:val="000F418E"/>
    <w:rsid w:val="000F7F2A"/>
    <w:rsid w:val="000F7FD3"/>
    <w:rsid w:val="00105242"/>
    <w:rsid w:val="001066E9"/>
    <w:rsid w:val="00111FD1"/>
    <w:rsid w:val="00115B6D"/>
    <w:rsid w:val="001226B2"/>
    <w:rsid w:val="00123345"/>
    <w:rsid w:val="00132DEC"/>
    <w:rsid w:val="00133C0F"/>
    <w:rsid w:val="00142A2E"/>
    <w:rsid w:val="00147866"/>
    <w:rsid w:val="001511AF"/>
    <w:rsid w:val="0016063C"/>
    <w:rsid w:val="00160662"/>
    <w:rsid w:val="001607DF"/>
    <w:rsid w:val="001871B5"/>
    <w:rsid w:val="001A775B"/>
    <w:rsid w:val="001C3899"/>
    <w:rsid w:val="001C5258"/>
    <w:rsid w:val="001D08F1"/>
    <w:rsid w:val="001E5600"/>
    <w:rsid w:val="001E784C"/>
    <w:rsid w:val="001F4BAA"/>
    <w:rsid w:val="001F51C7"/>
    <w:rsid w:val="0020270C"/>
    <w:rsid w:val="00202CA0"/>
    <w:rsid w:val="002245E6"/>
    <w:rsid w:val="00243F66"/>
    <w:rsid w:val="00245341"/>
    <w:rsid w:val="0025186D"/>
    <w:rsid w:val="0025192C"/>
    <w:rsid w:val="00252553"/>
    <w:rsid w:val="00257371"/>
    <w:rsid w:val="002705BB"/>
    <w:rsid w:val="0028497A"/>
    <w:rsid w:val="002939B4"/>
    <w:rsid w:val="002960DF"/>
    <w:rsid w:val="002B1D3E"/>
    <w:rsid w:val="002B3C02"/>
    <w:rsid w:val="002B5CD1"/>
    <w:rsid w:val="002C0F31"/>
    <w:rsid w:val="002C1AEE"/>
    <w:rsid w:val="002C21D8"/>
    <w:rsid w:val="002C3BE6"/>
    <w:rsid w:val="002E05A8"/>
    <w:rsid w:val="002E06B9"/>
    <w:rsid w:val="002E6418"/>
    <w:rsid w:val="002E67B1"/>
    <w:rsid w:val="002F2731"/>
    <w:rsid w:val="0030073F"/>
    <w:rsid w:val="00301A1D"/>
    <w:rsid w:val="003037EB"/>
    <w:rsid w:val="00304277"/>
    <w:rsid w:val="003059B9"/>
    <w:rsid w:val="00310019"/>
    <w:rsid w:val="003153B6"/>
    <w:rsid w:val="00323C24"/>
    <w:rsid w:val="003303F7"/>
    <w:rsid w:val="00337475"/>
    <w:rsid w:val="0034033F"/>
    <w:rsid w:val="00341B03"/>
    <w:rsid w:val="003472D1"/>
    <w:rsid w:val="00356667"/>
    <w:rsid w:val="00357207"/>
    <w:rsid w:val="00366D83"/>
    <w:rsid w:val="0037373D"/>
    <w:rsid w:val="003764CF"/>
    <w:rsid w:val="00380332"/>
    <w:rsid w:val="003A78C7"/>
    <w:rsid w:val="003A7E2B"/>
    <w:rsid w:val="003B35D4"/>
    <w:rsid w:val="003B48D7"/>
    <w:rsid w:val="003B7B6F"/>
    <w:rsid w:val="003C265D"/>
    <w:rsid w:val="003D5168"/>
    <w:rsid w:val="003E44F7"/>
    <w:rsid w:val="00407F68"/>
    <w:rsid w:val="00421DF4"/>
    <w:rsid w:val="0043059C"/>
    <w:rsid w:val="00430B30"/>
    <w:rsid w:val="0043159A"/>
    <w:rsid w:val="00431604"/>
    <w:rsid w:val="0043494E"/>
    <w:rsid w:val="00443A96"/>
    <w:rsid w:val="00447766"/>
    <w:rsid w:val="00461079"/>
    <w:rsid w:val="0046237C"/>
    <w:rsid w:val="00473377"/>
    <w:rsid w:val="00476CC5"/>
    <w:rsid w:val="004778D1"/>
    <w:rsid w:val="00477DD9"/>
    <w:rsid w:val="004908C5"/>
    <w:rsid w:val="004A5BF1"/>
    <w:rsid w:val="004A7B90"/>
    <w:rsid w:val="004B0C94"/>
    <w:rsid w:val="004B2B1A"/>
    <w:rsid w:val="004C1E6D"/>
    <w:rsid w:val="004C484A"/>
    <w:rsid w:val="004C62C7"/>
    <w:rsid w:val="004D00E0"/>
    <w:rsid w:val="004D0F00"/>
    <w:rsid w:val="004D22A5"/>
    <w:rsid w:val="004D6776"/>
    <w:rsid w:val="004D7AB7"/>
    <w:rsid w:val="004E2DB0"/>
    <w:rsid w:val="004E373B"/>
    <w:rsid w:val="004E548D"/>
    <w:rsid w:val="004F328A"/>
    <w:rsid w:val="004F78ED"/>
    <w:rsid w:val="00502F5F"/>
    <w:rsid w:val="005064AA"/>
    <w:rsid w:val="005159FD"/>
    <w:rsid w:val="0051693D"/>
    <w:rsid w:val="00520307"/>
    <w:rsid w:val="0052342F"/>
    <w:rsid w:val="005267AA"/>
    <w:rsid w:val="00530884"/>
    <w:rsid w:val="005344EA"/>
    <w:rsid w:val="00542A34"/>
    <w:rsid w:val="0055191B"/>
    <w:rsid w:val="005532F7"/>
    <w:rsid w:val="0056459D"/>
    <w:rsid w:val="00564766"/>
    <w:rsid w:val="00564DDA"/>
    <w:rsid w:val="0057232D"/>
    <w:rsid w:val="00573E4E"/>
    <w:rsid w:val="00576B5E"/>
    <w:rsid w:val="00577E03"/>
    <w:rsid w:val="00590CB2"/>
    <w:rsid w:val="00591AAA"/>
    <w:rsid w:val="0059774C"/>
    <w:rsid w:val="005B5938"/>
    <w:rsid w:val="005C0F94"/>
    <w:rsid w:val="005C33D9"/>
    <w:rsid w:val="005C4A06"/>
    <w:rsid w:val="005D62A8"/>
    <w:rsid w:val="005D6ECB"/>
    <w:rsid w:val="005E1521"/>
    <w:rsid w:val="005E2EF4"/>
    <w:rsid w:val="005E2F45"/>
    <w:rsid w:val="005F3AC3"/>
    <w:rsid w:val="005F4B5C"/>
    <w:rsid w:val="005F4D26"/>
    <w:rsid w:val="00612C9C"/>
    <w:rsid w:val="0061344D"/>
    <w:rsid w:val="00614836"/>
    <w:rsid w:val="00617D5D"/>
    <w:rsid w:val="0062033D"/>
    <w:rsid w:val="006244F5"/>
    <w:rsid w:val="006303EA"/>
    <w:rsid w:val="006312D5"/>
    <w:rsid w:val="00634643"/>
    <w:rsid w:val="006354C1"/>
    <w:rsid w:val="00650E74"/>
    <w:rsid w:val="00652663"/>
    <w:rsid w:val="00652AE9"/>
    <w:rsid w:val="0065450B"/>
    <w:rsid w:val="00662B2C"/>
    <w:rsid w:val="00663B30"/>
    <w:rsid w:val="0066791C"/>
    <w:rsid w:val="00667E34"/>
    <w:rsid w:val="00673FC5"/>
    <w:rsid w:val="00686F19"/>
    <w:rsid w:val="00687CE5"/>
    <w:rsid w:val="00693926"/>
    <w:rsid w:val="00693CAB"/>
    <w:rsid w:val="0069616D"/>
    <w:rsid w:val="006A0CDE"/>
    <w:rsid w:val="006B4687"/>
    <w:rsid w:val="006B724C"/>
    <w:rsid w:val="006B7524"/>
    <w:rsid w:val="006C3B44"/>
    <w:rsid w:val="006C4A0C"/>
    <w:rsid w:val="006C5480"/>
    <w:rsid w:val="006D5EEE"/>
    <w:rsid w:val="006E200F"/>
    <w:rsid w:val="006E5E5F"/>
    <w:rsid w:val="006F54A6"/>
    <w:rsid w:val="007025E7"/>
    <w:rsid w:val="0070619E"/>
    <w:rsid w:val="0070674F"/>
    <w:rsid w:val="00711026"/>
    <w:rsid w:val="007114E0"/>
    <w:rsid w:val="007155FF"/>
    <w:rsid w:val="0071582C"/>
    <w:rsid w:val="00717DA9"/>
    <w:rsid w:val="00720F1F"/>
    <w:rsid w:val="00723602"/>
    <w:rsid w:val="0072571F"/>
    <w:rsid w:val="007334D8"/>
    <w:rsid w:val="007338BA"/>
    <w:rsid w:val="007350DC"/>
    <w:rsid w:val="007364AF"/>
    <w:rsid w:val="00736B6D"/>
    <w:rsid w:val="00736E4E"/>
    <w:rsid w:val="007371E7"/>
    <w:rsid w:val="00742CC0"/>
    <w:rsid w:val="00742F07"/>
    <w:rsid w:val="00747929"/>
    <w:rsid w:val="00750CA6"/>
    <w:rsid w:val="00751FAB"/>
    <w:rsid w:val="00760D2D"/>
    <w:rsid w:val="00761F66"/>
    <w:rsid w:val="00763544"/>
    <w:rsid w:val="00764595"/>
    <w:rsid w:val="00772307"/>
    <w:rsid w:val="007777C8"/>
    <w:rsid w:val="00784FEB"/>
    <w:rsid w:val="007A45B1"/>
    <w:rsid w:val="007A45B2"/>
    <w:rsid w:val="007B4BBE"/>
    <w:rsid w:val="007C4B43"/>
    <w:rsid w:val="007D0332"/>
    <w:rsid w:val="007D1DBD"/>
    <w:rsid w:val="007D3CBD"/>
    <w:rsid w:val="007D3E2F"/>
    <w:rsid w:val="007F273F"/>
    <w:rsid w:val="008116EB"/>
    <w:rsid w:val="008136EB"/>
    <w:rsid w:val="00813C3B"/>
    <w:rsid w:val="00814A11"/>
    <w:rsid w:val="00820892"/>
    <w:rsid w:val="00826B92"/>
    <w:rsid w:val="008328E0"/>
    <w:rsid w:val="00834688"/>
    <w:rsid w:val="00843CA8"/>
    <w:rsid w:val="00847523"/>
    <w:rsid w:val="00852D8C"/>
    <w:rsid w:val="0085443C"/>
    <w:rsid w:val="0085602E"/>
    <w:rsid w:val="00861C80"/>
    <w:rsid w:val="008634C1"/>
    <w:rsid w:val="00865286"/>
    <w:rsid w:val="0087314D"/>
    <w:rsid w:val="008818F3"/>
    <w:rsid w:val="00881A3D"/>
    <w:rsid w:val="00890A06"/>
    <w:rsid w:val="008A3FEC"/>
    <w:rsid w:val="008B097B"/>
    <w:rsid w:val="008B2AE2"/>
    <w:rsid w:val="008B66AF"/>
    <w:rsid w:val="008B6EDE"/>
    <w:rsid w:val="008D1677"/>
    <w:rsid w:val="008D225A"/>
    <w:rsid w:val="008D6175"/>
    <w:rsid w:val="008D630B"/>
    <w:rsid w:val="008F116C"/>
    <w:rsid w:val="008F234C"/>
    <w:rsid w:val="009015FB"/>
    <w:rsid w:val="00907618"/>
    <w:rsid w:val="009127E7"/>
    <w:rsid w:val="00913697"/>
    <w:rsid w:val="00916ECB"/>
    <w:rsid w:val="00922D61"/>
    <w:rsid w:val="00922E2C"/>
    <w:rsid w:val="00924248"/>
    <w:rsid w:val="00927B2C"/>
    <w:rsid w:val="00932C22"/>
    <w:rsid w:val="00937588"/>
    <w:rsid w:val="00937E24"/>
    <w:rsid w:val="00941DB3"/>
    <w:rsid w:val="009433A9"/>
    <w:rsid w:val="009561FB"/>
    <w:rsid w:val="009600C9"/>
    <w:rsid w:val="00960221"/>
    <w:rsid w:val="0096259B"/>
    <w:rsid w:val="0097091B"/>
    <w:rsid w:val="00972360"/>
    <w:rsid w:val="00976638"/>
    <w:rsid w:val="00982DA8"/>
    <w:rsid w:val="0098449F"/>
    <w:rsid w:val="009A7DC3"/>
    <w:rsid w:val="009B4411"/>
    <w:rsid w:val="009B7ACE"/>
    <w:rsid w:val="009C088F"/>
    <w:rsid w:val="009C601D"/>
    <w:rsid w:val="009C7DAD"/>
    <w:rsid w:val="009D24CE"/>
    <w:rsid w:val="009D33C0"/>
    <w:rsid w:val="009D4EB5"/>
    <w:rsid w:val="009E1FD7"/>
    <w:rsid w:val="009E4FBE"/>
    <w:rsid w:val="00A005FE"/>
    <w:rsid w:val="00A00C21"/>
    <w:rsid w:val="00A013CF"/>
    <w:rsid w:val="00A02DCF"/>
    <w:rsid w:val="00A0464F"/>
    <w:rsid w:val="00A056B3"/>
    <w:rsid w:val="00A14953"/>
    <w:rsid w:val="00A176F8"/>
    <w:rsid w:val="00A2160B"/>
    <w:rsid w:val="00A22345"/>
    <w:rsid w:val="00A2556A"/>
    <w:rsid w:val="00A25587"/>
    <w:rsid w:val="00A26C2F"/>
    <w:rsid w:val="00A42931"/>
    <w:rsid w:val="00A46DB9"/>
    <w:rsid w:val="00A5118E"/>
    <w:rsid w:val="00A54A98"/>
    <w:rsid w:val="00A60472"/>
    <w:rsid w:val="00A63673"/>
    <w:rsid w:val="00A647A5"/>
    <w:rsid w:val="00A72913"/>
    <w:rsid w:val="00A8053B"/>
    <w:rsid w:val="00A83FD4"/>
    <w:rsid w:val="00A8575A"/>
    <w:rsid w:val="00A90A3A"/>
    <w:rsid w:val="00A93C2D"/>
    <w:rsid w:val="00A94B85"/>
    <w:rsid w:val="00A95924"/>
    <w:rsid w:val="00AA2C56"/>
    <w:rsid w:val="00AC113D"/>
    <w:rsid w:val="00AC29B3"/>
    <w:rsid w:val="00AC2FC1"/>
    <w:rsid w:val="00AC732F"/>
    <w:rsid w:val="00AD2346"/>
    <w:rsid w:val="00AD31A4"/>
    <w:rsid w:val="00AD3C2E"/>
    <w:rsid w:val="00AD41DC"/>
    <w:rsid w:val="00AD426E"/>
    <w:rsid w:val="00AD7C92"/>
    <w:rsid w:val="00AE3AA2"/>
    <w:rsid w:val="00AE58A7"/>
    <w:rsid w:val="00AF0C52"/>
    <w:rsid w:val="00AF3D88"/>
    <w:rsid w:val="00B00E48"/>
    <w:rsid w:val="00B01603"/>
    <w:rsid w:val="00B017F9"/>
    <w:rsid w:val="00B036AE"/>
    <w:rsid w:val="00B10375"/>
    <w:rsid w:val="00B130A2"/>
    <w:rsid w:val="00B21863"/>
    <w:rsid w:val="00B22B38"/>
    <w:rsid w:val="00B24AC6"/>
    <w:rsid w:val="00B2704A"/>
    <w:rsid w:val="00B3588C"/>
    <w:rsid w:val="00B42D9D"/>
    <w:rsid w:val="00B50939"/>
    <w:rsid w:val="00B544DC"/>
    <w:rsid w:val="00B55053"/>
    <w:rsid w:val="00B563D4"/>
    <w:rsid w:val="00B57481"/>
    <w:rsid w:val="00B62D86"/>
    <w:rsid w:val="00B635AA"/>
    <w:rsid w:val="00B65A45"/>
    <w:rsid w:val="00B66B75"/>
    <w:rsid w:val="00B72D22"/>
    <w:rsid w:val="00B73DD8"/>
    <w:rsid w:val="00B81A1F"/>
    <w:rsid w:val="00B9550A"/>
    <w:rsid w:val="00BA6CF2"/>
    <w:rsid w:val="00BB1BDC"/>
    <w:rsid w:val="00BB2833"/>
    <w:rsid w:val="00BB4B32"/>
    <w:rsid w:val="00BB6705"/>
    <w:rsid w:val="00BB7D0A"/>
    <w:rsid w:val="00BD2B5B"/>
    <w:rsid w:val="00BD4559"/>
    <w:rsid w:val="00BE0846"/>
    <w:rsid w:val="00BF42F8"/>
    <w:rsid w:val="00C031AF"/>
    <w:rsid w:val="00C11AD3"/>
    <w:rsid w:val="00C21A91"/>
    <w:rsid w:val="00C23B41"/>
    <w:rsid w:val="00C2551C"/>
    <w:rsid w:val="00C26A47"/>
    <w:rsid w:val="00C32944"/>
    <w:rsid w:val="00C413E6"/>
    <w:rsid w:val="00C44EA1"/>
    <w:rsid w:val="00C45DF7"/>
    <w:rsid w:val="00C53617"/>
    <w:rsid w:val="00C7207B"/>
    <w:rsid w:val="00C7519A"/>
    <w:rsid w:val="00C967D6"/>
    <w:rsid w:val="00CA4F09"/>
    <w:rsid w:val="00CA7F3C"/>
    <w:rsid w:val="00CC1D6A"/>
    <w:rsid w:val="00CC4D75"/>
    <w:rsid w:val="00CC59DD"/>
    <w:rsid w:val="00CD642D"/>
    <w:rsid w:val="00CD7C57"/>
    <w:rsid w:val="00CE30D9"/>
    <w:rsid w:val="00CE31EE"/>
    <w:rsid w:val="00CE32F9"/>
    <w:rsid w:val="00CF2655"/>
    <w:rsid w:val="00CF63A5"/>
    <w:rsid w:val="00D0353D"/>
    <w:rsid w:val="00D04C68"/>
    <w:rsid w:val="00D05D0E"/>
    <w:rsid w:val="00D06966"/>
    <w:rsid w:val="00D07F4A"/>
    <w:rsid w:val="00D11C10"/>
    <w:rsid w:val="00D1335A"/>
    <w:rsid w:val="00D152B0"/>
    <w:rsid w:val="00D155E2"/>
    <w:rsid w:val="00D177E8"/>
    <w:rsid w:val="00D210D7"/>
    <w:rsid w:val="00D212B5"/>
    <w:rsid w:val="00D229A8"/>
    <w:rsid w:val="00D23747"/>
    <w:rsid w:val="00D27A86"/>
    <w:rsid w:val="00D3447D"/>
    <w:rsid w:val="00D372AD"/>
    <w:rsid w:val="00D40292"/>
    <w:rsid w:val="00D5561F"/>
    <w:rsid w:val="00D63DFB"/>
    <w:rsid w:val="00D64826"/>
    <w:rsid w:val="00D735FF"/>
    <w:rsid w:val="00D750CF"/>
    <w:rsid w:val="00D777DF"/>
    <w:rsid w:val="00D828A5"/>
    <w:rsid w:val="00D82EBC"/>
    <w:rsid w:val="00D86C16"/>
    <w:rsid w:val="00D931A0"/>
    <w:rsid w:val="00DA2899"/>
    <w:rsid w:val="00DA2D1B"/>
    <w:rsid w:val="00DA32AF"/>
    <w:rsid w:val="00DB546B"/>
    <w:rsid w:val="00DC2E8E"/>
    <w:rsid w:val="00DC6E2F"/>
    <w:rsid w:val="00DC6F08"/>
    <w:rsid w:val="00DD0885"/>
    <w:rsid w:val="00DD14BA"/>
    <w:rsid w:val="00DD245C"/>
    <w:rsid w:val="00DF24E9"/>
    <w:rsid w:val="00DF4142"/>
    <w:rsid w:val="00DF4275"/>
    <w:rsid w:val="00DF55AE"/>
    <w:rsid w:val="00E0092A"/>
    <w:rsid w:val="00E02036"/>
    <w:rsid w:val="00E02938"/>
    <w:rsid w:val="00E11DD5"/>
    <w:rsid w:val="00E14064"/>
    <w:rsid w:val="00E218C7"/>
    <w:rsid w:val="00E21E92"/>
    <w:rsid w:val="00E22EA8"/>
    <w:rsid w:val="00E23B9C"/>
    <w:rsid w:val="00E23FD0"/>
    <w:rsid w:val="00E30174"/>
    <w:rsid w:val="00E33BD6"/>
    <w:rsid w:val="00E47BD5"/>
    <w:rsid w:val="00E517CD"/>
    <w:rsid w:val="00E5181A"/>
    <w:rsid w:val="00E532EC"/>
    <w:rsid w:val="00E5448F"/>
    <w:rsid w:val="00E634AF"/>
    <w:rsid w:val="00E646D2"/>
    <w:rsid w:val="00E65CC1"/>
    <w:rsid w:val="00E66A93"/>
    <w:rsid w:val="00E74524"/>
    <w:rsid w:val="00E75DC4"/>
    <w:rsid w:val="00E8193B"/>
    <w:rsid w:val="00E827C1"/>
    <w:rsid w:val="00E84962"/>
    <w:rsid w:val="00E856A2"/>
    <w:rsid w:val="00E865C8"/>
    <w:rsid w:val="00E93E67"/>
    <w:rsid w:val="00E94E7F"/>
    <w:rsid w:val="00EA0F56"/>
    <w:rsid w:val="00EA778E"/>
    <w:rsid w:val="00EB4AC1"/>
    <w:rsid w:val="00EB4D90"/>
    <w:rsid w:val="00EC226F"/>
    <w:rsid w:val="00EC614F"/>
    <w:rsid w:val="00ED63C2"/>
    <w:rsid w:val="00EE05B5"/>
    <w:rsid w:val="00EE4946"/>
    <w:rsid w:val="00EE5128"/>
    <w:rsid w:val="00EE65A8"/>
    <w:rsid w:val="00F020FF"/>
    <w:rsid w:val="00F034E5"/>
    <w:rsid w:val="00F03F8A"/>
    <w:rsid w:val="00F04146"/>
    <w:rsid w:val="00F12627"/>
    <w:rsid w:val="00F12D49"/>
    <w:rsid w:val="00F16B5C"/>
    <w:rsid w:val="00F2228A"/>
    <w:rsid w:val="00F22306"/>
    <w:rsid w:val="00F2277A"/>
    <w:rsid w:val="00F33074"/>
    <w:rsid w:val="00F340F0"/>
    <w:rsid w:val="00F37F16"/>
    <w:rsid w:val="00F4241B"/>
    <w:rsid w:val="00F43C80"/>
    <w:rsid w:val="00F52717"/>
    <w:rsid w:val="00F55656"/>
    <w:rsid w:val="00F60277"/>
    <w:rsid w:val="00F6607F"/>
    <w:rsid w:val="00F701BA"/>
    <w:rsid w:val="00F7494A"/>
    <w:rsid w:val="00F7737E"/>
    <w:rsid w:val="00F84021"/>
    <w:rsid w:val="00F957DF"/>
    <w:rsid w:val="00FA2EE9"/>
    <w:rsid w:val="00FA2F25"/>
    <w:rsid w:val="00FB5B29"/>
    <w:rsid w:val="00FB75A8"/>
    <w:rsid w:val="00FC498A"/>
    <w:rsid w:val="00FC6C0F"/>
    <w:rsid w:val="00FD0DCF"/>
    <w:rsid w:val="00FD7368"/>
    <w:rsid w:val="00FF2378"/>
    <w:rsid w:val="010B01E4"/>
    <w:rsid w:val="01187BDA"/>
    <w:rsid w:val="01A05FFB"/>
    <w:rsid w:val="01C552A1"/>
    <w:rsid w:val="01DD1938"/>
    <w:rsid w:val="01DF35D9"/>
    <w:rsid w:val="02233590"/>
    <w:rsid w:val="026268F8"/>
    <w:rsid w:val="03027FCD"/>
    <w:rsid w:val="0424369C"/>
    <w:rsid w:val="042B0938"/>
    <w:rsid w:val="048641F6"/>
    <w:rsid w:val="04D65D52"/>
    <w:rsid w:val="04F27EE0"/>
    <w:rsid w:val="058E10AA"/>
    <w:rsid w:val="0595774A"/>
    <w:rsid w:val="05B72345"/>
    <w:rsid w:val="05C922BE"/>
    <w:rsid w:val="06191090"/>
    <w:rsid w:val="068D6B42"/>
    <w:rsid w:val="06937A55"/>
    <w:rsid w:val="06AD3A1F"/>
    <w:rsid w:val="06B4365B"/>
    <w:rsid w:val="06C248A3"/>
    <w:rsid w:val="06D3489A"/>
    <w:rsid w:val="070E5DF6"/>
    <w:rsid w:val="071A32CD"/>
    <w:rsid w:val="07261ED7"/>
    <w:rsid w:val="07341A01"/>
    <w:rsid w:val="07F05113"/>
    <w:rsid w:val="08371A21"/>
    <w:rsid w:val="08F9684A"/>
    <w:rsid w:val="09080E5F"/>
    <w:rsid w:val="09116980"/>
    <w:rsid w:val="0A0C3B75"/>
    <w:rsid w:val="0A8A4BA9"/>
    <w:rsid w:val="0AC76F43"/>
    <w:rsid w:val="0B60493F"/>
    <w:rsid w:val="0BDB2817"/>
    <w:rsid w:val="0BF44A7A"/>
    <w:rsid w:val="0C1B411F"/>
    <w:rsid w:val="0CD90347"/>
    <w:rsid w:val="0CE0339C"/>
    <w:rsid w:val="0CEC4B06"/>
    <w:rsid w:val="0D3C460A"/>
    <w:rsid w:val="0DF02D6C"/>
    <w:rsid w:val="0EB66866"/>
    <w:rsid w:val="0EC23DBC"/>
    <w:rsid w:val="0EE05815"/>
    <w:rsid w:val="0F26762A"/>
    <w:rsid w:val="0F7E052D"/>
    <w:rsid w:val="10135F4F"/>
    <w:rsid w:val="103F0520"/>
    <w:rsid w:val="10583918"/>
    <w:rsid w:val="11A8280D"/>
    <w:rsid w:val="123B2A01"/>
    <w:rsid w:val="13333C00"/>
    <w:rsid w:val="135C5938"/>
    <w:rsid w:val="13FD4FF7"/>
    <w:rsid w:val="151E1558"/>
    <w:rsid w:val="153636B8"/>
    <w:rsid w:val="15564360"/>
    <w:rsid w:val="158866CA"/>
    <w:rsid w:val="161B2FFE"/>
    <w:rsid w:val="162A74F8"/>
    <w:rsid w:val="16453D81"/>
    <w:rsid w:val="16E64D39"/>
    <w:rsid w:val="17561644"/>
    <w:rsid w:val="17706828"/>
    <w:rsid w:val="18255F89"/>
    <w:rsid w:val="18386561"/>
    <w:rsid w:val="188C3BEE"/>
    <w:rsid w:val="18A8789A"/>
    <w:rsid w:val="18C65AEA"/>
    <w:rsid w:val="1999379A"/>
    <w:rsid w:val="199D654D"/>
    <w:rsid w:val="1BA40157"/>
    <w:rsid w:val="1BFC7DE6"/>
    <w:rsid w:val="1C0F4C56"/>
    <w:rsid w:val="1C692667"/>
    <w:rsid w:val="1C6B7B13"/>
    <w:rsid w:val="1CB17F99"/>
    <w:rsid w:val="1CF7446B"/>
    <w:rsid w:val="1D685C3F"/>
    <w:rsid w:val="1D805A46"/>
    <w:rsid w:val="1DB866A9"/>
    <w:rsid w:val="1E0C7326"/>
    <w:rsid w:val="1EAE36E9"/>
    <w:rsid w:val="1F026CC2"/>
    <w:rsid w:val="1F16473D"/>
    <w:rsid w:val="1F3D10AC"/>
    <w:rsid w:val="1F52773D"/>
    <w:rsid w:val="1F607A34"/>
    <w:rsid w:val="205A1B93"/>
    <w:rsid w:val="206F2CF6"/>
    <w:rsid w:val="211702AE"/>
    <w:rsid w:val="21900886"/>
    <w:rsid w:val="21931155"/>
    <w:rsid w:val="21A475AD"/>
    <w:rsid w:val="22022E80"/>
    <w:rsid w:val="22854540"/>
    <w:rsid w:val="228B233C"/>
    <w:rsid w:val="228C393D"/>
    <w:rsid w:val="22D24AB4"/>
    <w:rsid w:val="2331304D"/>
    <w:rsid w:val="236952ED"/>
    <w:rsid w:val="23787ADB"/>
    <w:rsid w:val="23A70DD2"/>
    <w:rsid w:val="23BD7B44"/>
    <w:rsid w:val="23DB03D1"/>
    <w:rsid w:val="24551672"/>
    <w:rsid w:val="245D73A6"/>
    <w:rsid w:val="248633FB"/>
    <w:rsid w:val="24F064C6"/>
    <w:rsid w:val="25CB0012"/>
    <w:rsid w:val="268B71AC"/>
    <w:rsid w:val="26D74D10"/>
    <w:rsid w:val="26D94A93"/>
    <w:rsid w:val="276C761E"/>
    <w:rsid w:val="27BB34A9"/>
    <w:rsid w:val="27E25C32"/>
    <w:rsid w:val="27EA7AC5"/>
    <w:rsid w:val="28070FFE"/>
    <w:rsid w:val="28206EEF"/>
    <w:rsid w:val="284B5D35"/>
    <w:rsid w:val="2874236C"/>
    <w:rsid w:val="29311532"/>
    <w:rsid w:val="297603A9"/>
    <w:rsid w:val="2AB2314B"/>
    <w:rsid w:val="2AE440C8"/>
    <w:rsid w:val="2B9030E5"/>
    <w:rsid w:val="2C8F4819"/>
    <w:rsid w:val="2CCF455B"/>
    <w:rsid w:val="2CF06313"/>
    <w:rsid w:val="2D494CF1"/>
    <w:rsid w:val="2D626694"/>
    <w:rsid w:val="2D925252"/>
    <w:rsid w:val="2DFE1D31"/>
    <w:rsid w:val="2E4D4835"/>
    <w:rsid w:val="2ECA481A"/>
    <w:rsid w:val="2ED44965"/>
    <w:rsid w:val="2F01366F"/>
    <w:rsid w:val="2F876C4B"/>
    <w:rsid w:val="2FAA3932"/>
    <w:rsid w:val="2FF4635B"/>
    <w:rsid w:val="30141B7D"/>
    <w:rsid w:val="30246702"/>
    <w:rsid w:val="305910B1"/>
    <w:rsid w:val="30D14980"/>
    <w:rsid w:val="30F17355"/>
    <w:rsid w:val="31115EA7"/>
    <w:rsid w:val="31262CC7"/>
    <w:rsid w:val="31E9558F"/>
    <w:rsid w:val="31EE663F"/>
    <w:rsid w:val="32070CF5"/>
    <w:rsid w:val="32237CFC"/>
    <w:rsid w:val="32713342"/>
    <w:rsid w:val="327E4628"/>
    <w:rsid w:val="33757383"/>
    <w:rsid w:val="33937E73"/>
    <w:rsid w:val="33C9214D"/>
    <w:rsid w:val="35981FC7"/>
    <w:rsid w:val="35A3476F"/>
    <w:rsid w:val="35C22341"/>
    <w:rsid w:val="35C6195C"/>
    <w:rsid w:val="35D66EC4"/>
    <w:rsid w:val="36932AD7"/>
    <w:rsid w:val="36B86F21"/>
    <w:rsid w:val="38D73850"/>
    <w:rsid w:val="38E878B9"/>
    <w:rsid w:val="38F530F9"/>
    <w:rsid w:val="393679C3"/>
    <w:rsid w:val="393F1FDC"/>
    <w:rsid w:val="39547CC4"/>
    <w:rsid w:val="39D160AA"/>
    <w:rsid w:val="39D56858"/>
    <w:rsid w:val="3A442E75"/>
    <w:rsid w:val="3B0E26BB"/>
    <w:rsid w:val="3B214AC0"/>
    <w:rsid w:val="3B772BE8"/>
    <w:rsid w:val="3BA27BDA"/>
    <w:rsid w:val="3BCC7723"/>
    <w:rsid w:val="3BFC2555"/>
    <w:rsid w:val="3C9777E4"/>
    <w:rsid w:val="3CA06282"/>
    <w:rsid w:val="3D7C7166"/>
    <w:rsid w:val="3DE835E9"/>
    <w:rsid w:val="3EDE41D5"/>
    <w:rsid w:val="3F94600B"/>
    <w:rsid w:val="3FC6434B"/>
    <w:rsid w:val="406F2501"/>
    <w:rsid w:val="40D20695"/>
    <w:rsid w:val="40D3754E"/>
    <w:rsid w:val="40EE34F4"/>
    <w:rsid w:val="414520FD"/>
    <w:rsid w:val="41CE0F8A"/>
    <w:rsid w:val="41E846BB"/>
    <w:rsid w:val="42A35846"/>
    <w:rsid w:val="42B03CC8"/>
    <w:rsid w:val="42BA2C9F"/>
    <w:rsid w:val="435E1B95"/>
    <w:rsid w:val="43625B18"/>
    <w:rsid w:val="437B0104"/>
    <w:rsid w:val="43FD71C4"/>
    <w:rsid w:val="44640744"/>
    <w:rsid w:val="456E16FC"/>
    <w:rsid w:val="45D17E57"/>
    <w:rsid w:val="45E20A33"/>
    <w:rsid w:val="45FE0424"/>
    <w:rsid w:val="46616D6B"/>
    <w:rsid w:val="46730F71"/>
    <w:rsid w:val="46EC1ABD"/>
    <w:rsid w:val="470B0486"/>
    <w:rsid w:val="481805D7"/>
    <w:rsid w:val="49852FCE"/>
    <w:rsid w:val="49AB4C75"/>
    <w:rsid w:val="4A4D01AA"/>
    <w:rsid w:val="4A8C17B3"/>
    <w:rsid w:val="4AB31407"/>
    <w:rsid w:val="4B885AA1"/>
    <w:rsid w:val="4BE05C75"/>
    <w:rsid w:val="4C432F6A"/>
    <w:rsid w:val="4C535981"/>
    <w:rsid w:val="4C877792"/>
    <w:rsid w:val="4C98637B"/>
    <w:rsid w:val="4CC02A68"/>
    <w:rsid w:val="4CC87855"/>
    <w:rsid w:val="4CFD1ECA"/>
    <w:rsid w:val="4D022903"/>
    <w:rsid w:val="4D117B39"/>
    <w:rsid w:val="4D480957"/>
    <w:rsid w:val="4F2F0E87"/>
    <w:rsid w:val="4F6D4A9C"/>
    <w:rsid w:val="4FAE33F4"/>
    <w:rsid w:val="500021B7"/>
    <w:rsid w:val="50252009"/>
    <w:rsid w:val="50451D01"/>
    <w:rsid w:val="50AF0A17"/>
    <w:rsid w:val="512D5932"/>
    <w:rsid w:val="516269F7"/>
    <w:rsid w:val="51B1045E"/>
    <w:rsid w:val="52AE7306"/>
    <w:rsid w:val="53102944"/>
    <w:rsid w:val="531B1CC2"/>
    <w:rsid w:val="538D05AE"/>
    <w:rsid w:val="53DE4E04"/>
    <w:rsid w:val="53E8408E"/>
    <w:rsid w:val="53E978B1"/>
    <w:rsid w:val="55263630"/>
    <w:rsid w:val="553339C0"/>
    <w:rsid w:val="553B2564"/>
    <w:rsid w:val="55466042"/>
    <w:rsid w:val="556427EC"/>
    <w:rsid w:val="558D1032"/>
    <w:rsid w:val="55BE5740"/>
    <w:rsid w:val="56AC22C3"/>
    <w:rsid w:val="56D7689E"/>
    <w:rsid w:val="56EC30D5"/>
    <w:rsid w:val="57360413"/>
    <w:rsid w:val="578641A4"/>
    <w:rsid w:val="59653D9C"/>
    <w:rsid w:val="59E911CB"/>
    <w:rsid w:val="5A184912"/>
    <w:rsid w:val="5C384FFD"/>
    <w:rsid w:val="5CBF7626"/>
    <w:rsid w:val="5CFB0232"/>
    <w:rsid w:val="5D386563"/>
    <w:rsid w:val="5D661520"/>
    <w:rsid w:val="5D815DA2"/>
    <w:rsid w:val="5FFF06CC"/>
    <w:rsid w:val="603A2BCB"/>
    <w:rsid w:val="613172CB"/>
    <w:rsid w:val="616910B0"/>
    <w:rsid w:val="61840AEB"/>
    <w:rsid w:val="61AB5656"/>
    <w:rsid w:val="61AD409F"/>
    <w:rsid w:val="628B747D"/>
    <w:rsid w:val="636C4F6A"/>
    <w:rsid w:val="63D7214A"/>
    <w:rsid w:val="645A4A32"/>
    <w:rsid w:val="645E0C4F"/>
    <w:rsid w:val="65C32091"/>
    <w:rsid w:val="65C5750D"/>
    <w:rsid w:val="66BE0D6C"/>
    <w:rsid w:val="67A87198"/>
    <w:rsid w:val="67D231E0"/>
    <w:rsid w:val="67D5210F"/>
    <w:rsid w:val="689E4F8C"/>
    <w:rsid w:val="68DD2243"/>
    <w:rsid w:val="69842EAA"/>
    <w:rsid w:val="69E31EAE"/>
    <w:rsid w:val="69E8338E"/>
    <w:rsid w:val="6CF512C4"/>
    <w:rsid w:val="6D940E59"/>
    <w:rsid w:val="6DD22FAD"/>
    <w:rsid w:val="6E460A0A"/>
    <w:rsid w:val="6E5935AE"/>
    <w:rsid w:val="6E666F54"/>
    <w:rsid w:val="6E6F6E59"/>
    <w:rsid w:val="6E8924FF"/>
    <w:rsid w:val="6F2F173A"/>
    <w:rsid w:val="6FAA6D75"/>
    <w:rsid w:val="6FAF0C7D"/>
    <w:rsid w:val="70983D51"/>
    <w:rsid w:val="70B65A00"/>
    <w:rsid w:val="713D7589"/>
    <w:rsid w:val="71563425"/>
    <w:rsid w:val="721706A1"/>
    <w:rsid w:val="721810D6"/>
    <w:rsid w:val="723529C7"/>
    <w:rsid w:val="728F54E9"/>
    <w:rsid w:val="734E2229"/>
    <w:rsid w:val="73527771"/>
    <w:rsid w:val="736B203E"/>
    <w:rsid w:val="73C33001"/>
    <w:rsid w:val="74037B73"/>
    <w:rsid w:val="74460C66"/>
    <w:rsid w:val="744D12A1"/>
    <w:rsid w:val="74671B16"/>
    <w:rsid w:val="74D9352C"/>
    <w:rsid w:val="75937EDD"/>
    <w:rsid w:val="75AB312D"/>
    <w:rsid w:val="75C622C6"/>
    <w:rsid w:val="76097F92"/>
    <w:rsid w:val="763A620A"/>
    <w:rsid w:val="76626974"/>
    <w:rsid w:val="76B41F4B"/>
    <w:rsid w:val="76B443F8"/>
    <w:rsid w:val="7764390C"/>
    <w:rsid w:val="77713091"/>
    <w:rsid w:val="77984C44"/>
    <w:rsid w:val="77BD39BD"/>
    <w:rsid w:val="77BD6B2D"/>
    <w:rsid w:val="7826491C"/>
    <w:rsid w:val="78E6058A"/>
    <w:rsid w:val="79546AD2"/>
    <w:rsid w:val="79CC0C05"/>
    <w:rsid w:val="79FB43AC"/>
    <w:rsid w:val="7A942206"/>
    <w:rsid w:val="7B0A0667"/>
    <w:rsid w:val="7B3A655F"/>
    <w:rsid w:val="7BDA2920"/>
    <w:rsid w:val="7C2611AE"/>
    <w:rsid w:val="7CED5465"/>
    <w:rsid w:val="7DED0F61"/>
    <w:rsid w:val="7DEF10E0"/>
    <w:rsid w:val="7EAE3A21"/>
    <w:rsid w:val="7EC34C4A"/>
    <w:rsid w:val="7F8861CA"/>
    <w:rsid w:val="7FB0682B"/>
    <w:rsid w:val="7FB20360"/>
    <w:rsid w:val="7FF52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BCE83A4"/>
  <w15:docId w15:val="{BD31771C-7B93-7140-A967-4C66DD22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rFonts w:ascii="仿宋_GB2312" w:eastAsia="仿宋_GB2312"/>
      <w:sz w:val="30"/>
      <w:szCs w:val="20"/>
    </w:rPr>
  </w:style>
  <w:style w:type="paragraph" w:styleId="a4">
    <w:name w:val="Body Text Indent"/>
    <w:basedOn w:val="a"/>
    <w:link w:val="a5"/>
    <w:qFormat/>
    <w:pPr>
      <w:ind w:firstLineChars="1000" w:firstLine="3000"/>
    </w:pPr>
    <w:rPr>
      <w:rFonts w:eastAsia="仿宋_GB2312"/>
      <w:sz w:val="30"/>
    </w:rPr>
  </w:style>
  <w:style w:type="paragraph" w:styleId="a6">
    <w:name w:val="Date"/>
    <w:basedOn w:val="a"/>
    <w:next w:val="a"/>
    <w:qFormat/>
    <w:pPr>
      <w:ind w:leftChars="2500" w:left="100"/>
    </w:pPr>
  </w:style>
  <w:style w:type="paragraph" w:styleId="a7">
    <w:name w:val="Balloon Text"/>
    <w:basedOn w:val="a"/>
    <w:semiHidden/>
    <w:qFormat/>
    <w:rPr>
      <w:sz w:val="18"/>
      <w:szCs w:val="18"/>
    </w:rPr>
  </w:style>
  <w:style w:type="paragraph" w:styleId="a8">
    <w:name w:val="footer"/>
    <w:basedOn w:val="a"/>
    <w:link w:val="a9"/>
    <w:qFormat/>
    <w:pPr>
      <w:tabs>
        <w:tab w:val="center" w:pos="4153"/>
        <w:tab w:val="right" w:pos="8306"/>
      </w:tabs>
      <w:snapToGrid w:val="0"/>
      <w:jc w:val="left"/>
    </w:pPr>
    <w:rPr>
      <w:sz w:val="18"/>
      <w:szCs w:val="18"/>
    </w:rPr>
  </w:style>
  <w:style w:type="paragraph" w:styleId="aa">
    <w:name w:val="header"/>
    <w:basedOn w:val="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widowControl/>
      <w:spacing w:before="100" w:beforeAutospacing="1" w:after="100" w:afterAutospacing="1"/>
      <w:jc w:val="left"/>
    </w:pPr>
    <w:rPr>
      <w:rFonts w:ascii="宋体" w:hAnsi="宋体" w:cs="宋体"/>
      <w:kern w:val="0"/>
      <w:sz w:val="24"/>
    </w:rPr>
  </w:style>
  <w:style w:type="character" w:styleId="ac">
    <w:name w:val="Strong"/>
    <w:qFormat/>
    <w:rPr>
      <w:b/>
      <w:bCs/>
    </w:rPr>
  </w:style>
  <w:style w:type="character" w:styleId="ad">
    <w:name w:val="page number"/>
    <w:basedOn w:val="a0"/>
    <w:qFormat/>
  </w:style>
  <w:style w:type="character" w:styleId="ae">
    <w:name w:val="Hyperlink"/>
    <w:qFormat/>
    <w:rPr>
      <w:color w:val="0000FF"/>
      <w:u w:val="single"/>
    </w:rPr>
  </w:style>
  <w:style w:type="paragraph" w:customStyle="1" w:styleId="Char">
    <w:name w:val="Char"/>
    <w:basedOn w:val="a"/>
    <w:qFormat/>
    <w:rPr>
      <w:rFonts w:ascii="Tahoma" w:hAnsi="Tahoma"/>
      <w:sz w:val="24"/>
      <w:szCs w:val="20"/>
    </w:rPr>
  </w:style>
  <w:style w:type="paragraph" w:customStyle="1" w:styleId="CharChar4Char">
    <w:name w:val="Char Char4 Char"/>
    <w:basedOn w:val="a"/>
    <w:qFormat/>
    <w:pPr>
      <w:widowControl/>
      <w:spacing w:after="160" w:line="240" w:lineRule="exact"/>
      <w:ind w:firstLineChars="200" w:firstLine="420"/>
      <w:jc w:val="left"/>
    </w:pPr>
    <w:rPr>
      <w:rFonts w:ascii="Verdana" w:hAnsi="Verdana"/>
      <w:kern w:val="0"/>
      <w:szCs w:val="20"/>
      <w:lang w:eastAsia="en-US"/>
    </w:rPr>
  </w:style>
  <w:style w:type="paragraph" w:customStyle="1" w:styleId="CharChar4Char0">
    <w:name w:val="Char Char4 Char"/>
    <w:basedOn w:val="a"/>
    <w:qFormat/>
    <w:pPr>
      <w:widowControl/>
      <w:spacing w:after="160" w:line="240" w:lineRule="exact"/>
      <w:ind w:firstLineChars="200" w:firstLine="420"/>
      <w:jc w:val="left"/>
    </w:pPr>
    <w:rPr>
      <w:rFonts w:ascii="Verdana" w:hAnsi="Verdana"/>
      <w:kern w:val="0"/>
      <w:szCs w:val="20"/>
      <w:lang w:eastAsia="en-US"/>
    </w:rPr>
  </w:style>
  <w:style w:type="paragraph" w:customStyle="1" w:styleId="Char0">
    <w:name w:val="Char"/>
    <w:basedOn w:val="a"/>
    <w:qFormat/>
    <w:rPr>
      <w:rFonts w:ascii="Tahoma" w:hAnsi="Tahoma"/>
      <w:sz w:val="24"/>
      <w:szCs w:val="20"/>
    </w:rPr>
  </w:style>
  <w:style w:type="character" w:customStyle="1" w:styleId="a5">
    <w:name w:val="正文文本缩进 字符"/>
    <w:link w:val="a4"/>
    <w:qFormat/>
    <w:rPr>
      <w:rFonts w:eastAsia="仿宋_GB2312"/>
      <w:kern w:val="2"/>
      <w:sz w:val="30"/>
      <w:szCs w:val="24"/>
    </w:rPr>
  </w:style>
  <w:style w:type="character" w:customStyle="1" w:styleId="a9">
    <w:name w:val="页脚 字符"/>
    <w:link w:val="a8"/>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5071</Words>
  <Characters>28906</Characters>
  <Application>Microsoft Office Word</Application>
  <DocSecurity>0</DocSecurity>
  <Lines>240</Lines>
  <Paragraphs>67</Paragraphs>
  <ScaleCrop>false</ScaleCrop>
  <Company>Lenovo (Beijing) Limited</Company>
  <LinksUpToDate>false</LinksUpToDate>
  <CharactersWithSpaces>33910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国家法官学院</dc:title>
  <dc:creator>Lenovo User</dc:creator>
  <cp:lastModifiedBy>Microsoft Office User</cp:lastModifiedBy>
  <cp:revision>3</cp:revision>
  <cp:lastPrinted>2019-01-21T05:02:00Z</cp:lastPrinted>
  <dcterms:created xsi:type="dcterms:W3CDTF">2020-01-10T09:34:00Z</dcterms:created>
  <dcterms:modified xsi:type="dcterms:W3CDTF">2020-01-10T09:34:00Z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